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4C9C" w:rsidRDefault="00AB4C9C" w:rsidP="00AB4C9C">
      <w:pPr>
        <w:rPr>
          <w:b/>
          <w:bCs/>
        </w:rPr>
      </w:pPr>
      <w:r w:rsidRPr="00DE6883">
        <w:rPr>
          <w:b/>
          <w:bCs/>
        </w:rPr>
        <w:t>TCO</w:t>
      </w:r>
      <w:r w:rsidRPr="00556AD7">
        <w:rPr>
          <w:b/>
          <w:bCs/>
          <w:vertAlign w:val="subscript"/>
        </w:rPr>
        <w:t>2</w:t>
      </w:r>
      <w:r>
        <w:rPr>
          <w:b/>
          <w:bCs/>
        </w:rPr>
        <w:t xml:space="preserve"> and </w:t>
      </w:r>
      <w:r w:rsidRPr="00DE6883">
        <w:rPr>
          <w:b/>
          <w:bCs/>
        </w:rPr>
        <w:t>pCO</w:t>
      </w:r>
      <w:r w:rsidRPr="00556AD7">
        <w:rPr>
          <w:b/>
          <w:bCs/>
          <w:vertAlign w:val="subscript"/>
        </w:rPr>
        <w:t>2</w:t>
      </w:r>
      <w:r>
        <w:rPr>
          <w:b/>
          <w:bCs/>
        </w:rPr>
        <w:t xml:space="preserve"> measurement </w:t>
      </w:r>
      <w:r w:rsidRPr="00DE6883">
        <w:rPr>
          <w:b/>
          <w:bCs/>
        </w:rPr>
        <w:t>quality control</w:t>
      </w:r>
      <w:r>
        <w:rPr>
          <w:b/>
          <w:bCs/>
        </w:rPr>
        <w:t xml:space="preserve"> and uncertainty assessment </w:t>
      </w:r>
    </w:p>
    <w:p w:rsidR="00AB4C9C" w:rsidRDefault="00AB4C9C" w:rsidP="00AB4C9C">
      <w:pPr>
        <w:ind w:firstLine="720"/>
      </w:pPr>
      <w:r>
        <w:t xml:space="preserve">The following describes the quality control (QC) procedure for </w:t>
      </w:r>
      <w:r w:rsidRPr="00556AD7">
        <w:t xml:space="preserve">measurements </w:t>
      </w:r>
      <w:r>
        <w:t xml:space="preserve">of </w:t>
      </w:r>
      <w:r w:rsidRPr="00556AD7">
        <w:t>total dissolved inorganic carbon (TCO</w:t>
      </w:r>
      <w:r w:rsidRPr="00556AD7">
        <w:rPr>
          <w:vertAlign w:val="subscript"/>
        </w:rPr>
        <w:t>2</w:t>
      </w:r>
      <w:r w:rsidRPr="00556AD7">
        <w:t xml:space="preserve">) </w:t>
      </w:r>
      <w:r>
        <w:t xml:space="preserve">and </w:t>
      </w:r>
      <w:r w:rsidRPr="00556AD7">
        <w:t>carbon dioxide partial pressure (pCO</w:t>
      </w:r>
      <w:r w:rsidRPr="00556AD7">
        <w:rPr>
          <w:vertAlign w:val="subscript"/>
        </w:rPr>
        <w:t>2</w:t>
      </w:r>
      <w:r w:rsidRPr="00556AD7">
        <w:t xml:space="preserve">) </w:t>
      </w:r>
      <w:r>
        <w:t xml:space="preserve">made on </w:t>
      </w:r>
      <w:r w:rsidRPr="00556AD7">
        <w:t>discrete</w:t>
      </w:r>
      <w:r>
        <w:t xml:space="preserve"> seawater samples collected using </w:t>
      </w:r>
      <w:proofErr w:type="spellStart"/>
      <w:r>
        <w:t>Niskin</w:t>
      </w:r>
      <w:proofErr w:type="spellEnd"/>
      <w:r>
        <w:t xml:space="preserve"> bottles and analyzed using a Burke-o-</w:t>
      </w:r>
      <w:proofErr w:type="spellStart"/>
      <w:r>
        <w:t>Lator</w:t>
      </w:r>
      <w:proofErr w:type="spellEnd"/>
      <w:r>
        <w:t xml:space="preserve"> TCO</w:t>
      </w:r>
      <w:r w:rsidRPr="000E260D">
        <w:rPr>
          <w:vertAlign w:val="subscript"/>
        </w:rPr>
        <w:t>2</w:t>
      </w:r>
      <w:r>
        <w:t>/pCO</w:t>
      </w:r>
      <w:r w:rsidRPr="000E260D">
        <w:rPr>
          <w:vertAlign w:val="subscript"/>
        </w:rPr>
        <w:t>2</w:t>
      </w:r>
      <w:r>
        <w:t xml:space="preserve"> Analyzer</w:t>
      </w:r>
      <w:r>
        <w:fldChar w:fldCharType="begin"/>
      </w:r>
      <w:r w:rsidR="00F659DC">
        <w:instrText xml:space="preserve"> ADDIN EN.CITE &lt;EndNote&gt;&lt;Cite&gt;&lt;Author&gt;Campbell&lt;/Author&gt;&lt;Year&gt;2023&lt;/Year&gt;&lt;RecNum&gt;1508&lt;/RecNum&gt;&lt;DisplayText&gt;&lt;style face="superscript"&gt;1&lt;/style&gt;&lt;/DisplayText&gt;&lt;record&gt;&lt;rec-number&gt;1508&lt;/rec-number&gt;&lt;foreign-keys&gt;&lt;key app="EN" db-id="w950ea2scwf59ee9928pe0ag9xtwvetfftpd" timestamp="1707327606"&gt;1508&lt;/key&gt;&lt;/foreign-keys&gt;&lt;ref-type name="Journal Article"&gt;17&lt;/ref-type&gt;&lt;contributors&gt;&lt;authors&gt;&lt;author&gt;Campbell, K.&lt;/author&gt;&lt;author&gt;Weekes, C.&lt;/author&gt;&lt;author&gt;Evans, W.&lt;/author&gt;&lt;author&gt;Gimenez, Iria&lt;/author&gt;&lt;author&gt;Hales, B&lt;/author&gt;&lt;/authors&gt;&lt;/contributors&gt;&lt;titles&gt;&lt;title&gt;&lt;style face="normal" font="default" size="100%"&gt;Hakai Institute’s Burke-o-Lator TCO&lt;/style&gt;&lt;style face="subscript" font="default" size="100%"&gt;2&lt;/style&gt;&lt;style face="normal" font="default" size="100%"&gt;/pCO&lt;/style&gt;&lt;style face="subscript" font="default" size="100%"&gt;2&lt;/style&gt;&lt;style face="normal" font="default" size="100%"&gt; Analyzer Discrete Sample Analysis Protocols (v2.0)&lt;/style&gt;&lt;/title&gt;&lt;/titles&gt;&lt;dates&gt;&lt;year&gt;2023&lt;/year&gt;&lt;/dates&gt;&lt;urls&gt;&lt;/urls&gt;&lt;electronic-resource-num&gt;10.21966/1.521066&lt;/electronic-resource-num&gt;&lt;/record&gt;&lt;/Cite&gt;&lt;/EndNote&gt;</w:instrText>
      </w:r>
      <w:r>
        <w:fldChar w:fldCharType="separate"/>
      </w:r>
      <w:r w:rsidR="00F659DC" w:rsidRPr="00F659DC">
        <w:rPr>
          <w:noProof/>
          <w:vertAlign w:val="superscript"/>
        </w:rPr>
        <w:t>1</w:t>
      </w:r>
      <w:r>
        <w:fldChar w:fldCharType="end"/>
      </w:r>
      <w:r>
        <w:t>. The approach to evaluate measured and derived marine CO</w:t>
      </w:r>
      <w:r w:rsidRPr="00853BCE">
        <w:rPr>
          <w:vertAlign w:val="subscript"/>
        </w:rPr>
        <w:t>2</w:t>
      </w:r>
      <w:r>
        <w:t xml:space="preserve"> system parameter uncertainties is also described. The below steps</w:t>
      </w:r>
      <w:r w:rsidRPr="00556AD7">
        <w:t xml:space="preserve"> </w:t>
      </w:r>
      <w:r>
        <w:t>extend from the evaluation of Excel worksheet calculations completed during sample analysis</w:t>
      </w:r>
      <w:r>
        <w:fldChar w:fldCharType="begin"/>
      </w:r>
      <w:r w:rsidR="00F659DC">
        <w:instrText xml:space="preserve"> ADDIN EN.CITE &lt;EndNote&gt;&lt;Cite&gt;&lt;Author&gt;Campbell&lt;/Author&gt;&lt;Year&gt;2023&lt;/Year&gt;&lt;RecNum&gt;1508&lt;/RecNum&gt;&lt;DisplayText&gt;&lt;style face="superscript"&gt;1&lt;/style&gt;&lt;/DisplayText&gt;&lt;record&gt;&lt;rec-number&gt;1508&lt;/rec-number&gt;&lt;foreign-keys&gt;&lt;key app="EN" db-id="w950ea2scwf59ee9928pe0ag9xtwvetfftpd" timestamp="1707327606"&gt;1508&lt;/key&gt;&lt;/foreign-keys&gt;&lt;ref-type name="Journal Article"&gt;17&lt;/ref-type&gt;&lt;contributors&gt;&lt;authors&gt;&lt;author&gt;Campbell, K.&lt;/author&gt;&lt;author&gt;Weekes, C.&lt;/author&gt;&lt;author&gt;Evans, W.&lt;/author&gt;&lt;author&gt;Gimenez, Iria&lt;/author&gt;&lt;author&gt;Hales, B&lt;/author&gt;&lt;/authors&gt;&lt;/contributors&gt;&lt;titles&gt;&lt;title&gt;&lt;style face="normal" font="default" size="100%"&gt;Hakai Institute’s Burke-o-Lator TCO&lt;/style&gt;&lt;style face="subscript" font="default" size="100%"&gt;2&lt;/style&gt;&lt;style face="normal" font="default" size="100%"&gt;/pCO&lt;/style&gt;&lt;style face="subscript" font="default" size="100%"&gt;2&lt;/style&gt;&lt;style face="normal" font="default" size="100%"&gt; Analyzer Discrete Sample Analysis Protocols (v2.0)&lt;/style&gt;&lt;/title&gt;&lt;/titles&gt;&lt;dates&gt;&lt;year&gt;2023&lt;/year&gt;&lt;/dates&gt;&lt;urls&gt;&lt;/urls&gt;&lt;electronic-resource-num&gt;10.21966/1.521066&lt;/electronic-resource-num&gt;&lt;/record&gt;&lt;/Cite&gt;&lt;/EndNote&gt;</w:instrText>
      </w:r>
      <w:r>
        <w:fldChar w:fldCharType="separate"/>
      </w:r>
      <w:r w:rsidR="00F659DC" w:rsidRPr="00F659DC">
        <w:rPr>
          <w:noProof/>
          <w:vertAlign w:val="superscript"/>
        </w:rPr>
        <w:t>1</w:t>
      </w:r>
      <w:r>
        <w:fldChar w:fldCharType="end"/>
      </w:r>
      <w:r>
        <w:t xml:space="preserve"> and routines described in provided code on GitHub (</w:t>
      </w:r>
      <w:r w:rsidRPr="001C7293">
        <w:t>https://github.com/HakaiInstitute/Discrete-CO2-Processing-Code?tab=readme-ov-file</w:t>
      </w:r>
      <w:r>
        <w:t>). Note that TCO</w:t>
      </w:r>
      <w:r w:rsidRPr="00296706">
        <w:rPr>
          <w:vertAlign w:val="subscript"/>
        </w:rPr>
        <w:t>2</w:t>
      </w:r>
      <w:r>
        <w:t xml:space="preserve"> measurements would have been evaluated and deemed “good” or “questionable” </w:t>
      </w:r>
      <w:r w:rsidR="00603086">
        <w:t xml:space="preserve">during the evaluation of Excel worksheets </w:t>
      </w:r>
      <w:r>
        <w:t>by examining correction factors (acceptable values within 1±0.01) and the standard deviation of triplicate reference material analyses.</w:t>
      </w:r>
    </w:p>
    <w:p w:rsidR="00AB4C9C" w:rsidRDefault="00AB4C9C" w:rsidP="00AB4C9C">
      <w:pPr>
        <w:ind w:firstLine="720"/>
        <w:rPr>
          <w:i/>
          <w:iCs/>
          <w:u w:val="single"/>
        </w:rPr>
      </w:pPr>
    </w:p>
    <w:p w:rsidR="00AB4C9C" w:rsidRPr="00853BCE" w:rsidRDefault="00AB4C9C" w:rsidP="00AB4C9C">
      <w:pPr>
        <w:rPr>
          <w:b/>
          <w:bCs/>
          <w:u w:val="single"/>
        </w:rPr>
      </w:pPr>
      <w:r>
        <w:rPr>
          <w:i/>
          <w:iCs/>
          <w:u w:val="single"/>
        </w:rPr>
        <w:t>Concatenation and initial quality checks using CTD data</w:t>
      </w:r>
    </w:p>
    <w:p w:rsidR="00AB4C9C" w:rsidRPr="0077614D" w:rsidRDefault="00AB4C9C" w:rsidP="00AB4C9C">
      <w:pPr>
        <w:ind w:firstLine="720"/>
      </w:pPr>
      <w:r>
        <w:t>The first step in examining the quality of TCO</w:t>
      </w:r>
      <w:r w:rsidRPr="004A11A5">
        <w:rPr>
          <w:vertAlign w:val="subscript"/>
        </w:rPr>
        <w:t>2</w:t>
      </w:r>
      <w:r>
        <w:t xml:space="preserve"> and pCO</w:t>
      </w:r>
      <w:r w:rsidRPr="004A11A5">
        <w:rPr>
          <w:vertAlign w:val="subscript"/>
        </w:rPr>
        <w:t>2</w:t>
      </w:r>
      <w:r>
        <w:t xml:space="preserve"> measurements from an oceanographic field campaign was to produce</w:t>
      </w:r>
      <w:r w:rsidRPr="00556AD7">
        <w:t xml:space="preserve"> a “master </w:t>
      </w:r>
      <w:r>
        <w:t>file” of concatenated data from the Excel worksheets generated during sample analysis and the corresponding sample logs completed during sample collection</w:t>
      </w:r>
      <w:r w:rsidRPr="00556AD7">
        <w:t xml:space="preserve">. </w:t>
      </w:r>
      <w:r>
        <w:t xml:space="preserve">Information generated during sample collection included collection </w:t>
      </w:r>
      <w:r w:rsidRPr="0077614D">
        <w:t>date</w:t>
      </w:r>
      <w:r>
        <w:t xml:space="preserve"> and</w:t>
      </w:r>
      <w:r w:rsidRPr="0077614D">
        <w:t xml:space="preserve"> time, </w:t>
      </w:r>
      <w:r>
        <w:t>latitude, longitude</w:t>
      </w:r>
      <w:r w:rsidRPr="0077614D">
        <w:t xml:space="preserve">, depth, </w:t>
      </w:r>
      <w:r>
        <w:t xml:space="preserve">sample temperature at the time of collection, and any notes related to </w:t>
      </w:r>
      <w:proofErr w:type="spellStart"/>
      <w:r>
        <w:t>Niskin</w:t>
      </w:r>
      <w:proofErr w:type="spellEnd"/>
      <w:r>
        <w:t xml:space="preserve"> bottle integrity checks and sample collection</w:t>
      </w:r>
      <w:r w:rsidRPr="0077614D">
        <w:t xml:space="preserve">. </w:t>
      </w:r>
      <w:r>
        <w:t xml:space="preserve">Each sample in the master file was initially given a data quality flag of </w:t>
      </w:r>
      <w:r w:rsidRPr="0077614D">
        <w:t>“1”</w:t>
      </w:r>
      <w:r>
        <w:t xml:space="preserve"> if considered a good measurement, or “2” if part of a </w:t>
      </w:r>
      <w:r w:rsidRPr="0077614D">
        <w:t>replicate</w:t>
      </w:r>
      <w:r>
        <w:t xml:space="preserve"> series</w:t>
      </w:r>
      <w:r w:rsidRPr="0077614D">
        <w:t xml:space="preserve"> (usually </w:t>
      </w:r>
      <w:r>
        <w:t xml:space="preserve">a </w:t>
      </w:r>
      <w:r w:rsidRPr="0077614D">
        <w:t>triplicate</w:t>
      </w:r>
      <w:r>
        <w:t xml:space="preserve"> set</w:t>
      </w:r>
      <w:r w:rsidRPr="0077614D">
        <w:t>)</w:t>
      </w:r>
      <w:r>
        <w:t>, or “4” if not analyzed. Further evaluation of data quality, and the adjustment of flags “1” or “2” to flag “3”, representing a questionable measurement, occurred in the following steps.</w:t>
      </w:r>
      <w:r w:rsidRPr="0077614D">
        <w:t xml:space="preserve"> </w:t>
      </w:r>
    </w:p>
    <w:p w:rsidR="00AB4C9C" w:rsidRDefault="00AB4C9C" w:rsidP="00AB4C9C">
      <w:pPr>
        <w:ind w:firstLine="720"/>
      </w:pPr>
      <w:r w:rsidRPr="00D155C4">
        <w:t xml:space="preserve">The </w:t>
      </w:r>
      <w:r>
        <w:t>next</w:t>
      </w:r>
      <w:r w:rsidRPr="00D155C4">
        <w:t xml:space="preserve"> </w:t>
      </w:r>
      <w:r>
        <w:t xml:space="preserve">data-handling </w:t>
      </w:r>
      <w:r w:rsidRPr="00D155C4">
        <w:t xml:space="preserve">step </w:t>
      </w:r>
      <w:r>
        <w:t>involved</w:t>
      </w:r>
      <w:r w:rsidRPr="00D155C4">
        <w:t xml:space="preserve"> merging </w:t>
      </w:r>
      <w:r>
        <w:t>conductivity-temperature-depth (CTD) profile</w:t>
      </w:r>
      <w:r w:rsidRPr="00D155C4">
        <w:t xml:space="preserve"> data with the master file</w:t>
      </w:r>
      <w:r>
        <w:t xml:space="preserve"> and then doing comparisons between select measurements</w:t>
      </w:r>
      <w:r w:rsidRPr="00D155C4">
        <w:t xml:space="preserve">. </w:t>
      </w:r>
      <w:r>
        <w:t>Note that available nutrient data were also merged with the master file, although these data were not used in CO</w:t>
      </w:r>
      <w:r w:rsidRPr="00CD71C7">
        <w:rPr>
          <w:vertAlign w:val="subscript"/>
        </w:rPr>
        <w:t>2</w:t>
      </w:r>
      <w:r>
        <w:t xml:space="preserve"> system calculations. D</w:t>
      </w:r>
      <w:r w:rsidRPr="00D155C4">
        <w:t>ata merg</w:t>
      </w:r>
      <w:r>
        <w:t>ing consisted of matching date, latitude, longitude, and depth between the discrete TCO</w:t>
      </w:r>
      <w:r w:rsidRPr="000B30BD">
        <w:rPr>
          <w:vertAlign w:val="subscript"/>
        </w:rPr>
        <w:t>2</w:t>
      </w:r>
      <w:r>
        <w:t>/pCO</w:t>
      </w:r>
      <w:r w:rsidRPr="000B30BD">
        <w:rPr>
          <w:vertAlign w:val="subscript"/>
        </w:rPr>
        <w:t>2</w:t>
      </w:r>
      <w:r>
        <w:t xml:space="preserve"> samples collected with </w:t>
      </w:r>
      <w:proofErr w:type="spellStart"/>
      <w:r>
        <w:t>Niskin</w:t>
      </w:r>
      <w:proofErr w:type="spellEnd"/>
      <w:r>
        <w:t xml:space="preserve"> bottles and 1-m bin-averaged CTD data. Note that CTD profiling and </w:t>
      </w:r>
      <w:proofErr w:type="spellStart"/>
      <w:r>
        <w:t>Niskin</w:t>
      </w:r>
      <w:proofErr w:type="spellEnd"/>
      <w:r>
        <w:t xml:space="preserve"> bottle sampling occurred sequentially during our small boat surveys.</w:t>
      </w:r>
      <w:r w:rsidRPr="00D155C4">
        <w:t xml:space="preserve"> </w:t>
      </w:r>
      <w:r>
        <w:t>After CTD data were merged with the master file</w:t>
      </w:r>
      <w:r w:rsidRPr="00D155C4">
        <w:t xml:space="preserve">, </w:t>
      </w:r>
      <w:r>
        <w:t xml:space="preserve">the sample temperature at the time of collection (recorded using a </w:t>
      </w:r>
      <w:r w:rsidRPr="00D155C4">
        <w:t>NIST</w:t>
      </w:r>
      <w:r>
        <w:t>-traceable</w:t>
      </w:r>
      <w:r w:rsidRPr="00D155C4">
        <w:t xml:space="preserve"> probe</w:t>
      </w:r>
      <w:r>
        <w:t>)</w:t>
      </w:r>
      <w:r w:rsidRPr="00D155C4">
        <w:t xml:space="preserve"> and </w:t>
      </w:r>
      <w:r>
        <w:t xml:space="preserve">the sample </w:t>
      </w:r>
      <w:r w:rsidRPr="00D155C4">
        <w:t>salinity</w:t>
      </w:r>
      <w:r>
        <w:t xml:space="preserve"> </w:t>
      </w:r>
      <w:r w:rsidRPr="00D155C4">
        <w:t xml:space="preserve">(measured in the laboratory </w:t>
      </w:r>
      <w:r>
        <w:t>with</w:t>
      </w:r>
      <w:r w:rsidRPr="00D155C4">
        <w:t xml:space="preserve"> a YSI conductivity cell that </w:t>
      </w:r>
      <w:r>
        <w:t>was</w:t>
      </w:r>
      <w:r w:rsidRPr="00D155C4">
        <w:t xml:space="preserve"> calibrated using </w:t>
      </w:r>
      <w:r>
        <w:t>certified reference materials from Andrew Dickson at UCSD)</w:t>
      </w:r>
      <w:r w:rsidRPr="00D155C4">
        <w:t xml:space="preserve"> </w:t>
      </w:r>
      <w:r>
        <w:t xml:space="preserve">were compared with the </w:t>
      </w:r>
      <w:r w:rsidRPr="00D155C4">
        <w:t xml:space="preserve">CTD </w:t>
      </w:r>
      <w:r>
        <w:t xml:space="preserve">temperature and salinity recorded at the depth the </w:t>
      </w:r>
      <w:proofErr w:type="spellStart"/>
      <w:r>
        <w:t>Niskin</w:t>
      </w:r>
      <w:proofErr w:type="spellEnd"/>
      <w:r>
        <w:t xml:space="preserve"> bottle was tripped</w:t>
      </w:r>
      <w:r w:rsidRPr="00D155C4">
        <w:t xml:space="preserve"> (</w:t>
      </w:r>
      <w:r>
        <w:t>determined using an</w:t>
      </w:r>
      <w:r w:rsidRPr="00D155C4">
        <w:t xml:space="preserve"> RBR </w:t>
      </w:r>
      <w:r>
        <w:t>S</w:t>
      </w:r>
      <w:r w:rsidRPr="00D155C4">
        <w:t>olo pressure</w:t>
      </w:r>
      <w:r>
        <w:t xml:space="preserve"> sensor attached to each </w:t>
      </w:r>
      <w:proofErr w:type="spellStart"/>
      <w:r>
        <w:t>Niskin</w:t>
      </w:r>
      <w:proofErr w:type="spellEnd"/>
      <w:r>
        <w:t xml:space="preserve"> bottle, or line out markers if no pressure measurement was available)</w:t>
      </w:r>
      <w:r w:rsidRPr="00D155C4">
        <w:t xml:space="preserve">. All salinity units </w:t>
      </w:r>
      <w:r>
        <w:t>were reported on the</w:t>
      </w:r>
      <w:r w:rsidRPr="00D155C4">
        <w:t xml:space="preserve"> </w:t>
      </w:r>
      <w:r w:rsidR="00D12B53">
        <w:t>Practical Salinity Scale - 1978</w:t>
      </w:r>
      <w:r w:rsidRPr="00D155C4">
        <w:t xml:space="preserve">. The </w:t>
      </w:r>
      <w:r>
        <w:t xml:space="preserve">comparison between </w:t>
      </w:r>
      <w:r w:rsidRPr="00D155C4">
        <w:t xml:space="preserve">NIST </w:t>
      </w:r>
      <w:r>
        <w:t>temperature</w:t>
      </w:r>
      <w:r w:rsidRPr="00D155C4">
        <w:t xml:space="preserve"> and CTD </w:t>
      </w:r>
      <w:r>
        <w:t>temperature</w:t>
      </w:r>
      <w:r w:rsidRPr="00D155C4">
        <w:t xml:space="preserve"> </w:t>
      </w:r>
      <w:r>
        <w:t>was</w:t>
      </w:r>
      <w:r w:rsidRPr="00D155C4">
        <w:t xml:space="preserve"> useful </w:t>
      </w:r>
      <w:r>
        <w:t>for</w:t>
      </w:r>
      <w:r w:rsidRPr="00D155C4">
        <w:t xml:space="preserve"> </w:t>
      </w:r>
      <w:r>
        <w:t>evaluating</w:t>
      </w:r>
      <w:r w:rsidRPr="00D155C4">
        <w:t xml:space="preserve"> the degree of warming </w:t>
      </w:r>
      <w:r>
        <w:t xml:space="preserve">that may have occurred between recovering the </w:t>
      </w:r>
      <w:proofErr w:type="spellStart"/>
      <w:r>
        <w:t>Niskin</w:t>
      </w:r>
      <w:proofErr w:type="spellEnd"/>
      <w:r>
        <w:t xml:space="preserve"> bottle and drawing the </w:t>
      </w:r>
      <w:r w:rsidRPr="00D155C4">
        <w:t>sample</w:t>
      </w:r>
      <w:r>
        <w:t>; however, this warming was typically minimal</w:t>
      </w:r>
      <w:r w:rsidRPr="00D155C4">
        <w:t xml:space="preserve">. The </w:t>
      </w:r>
      <w:r>
        <w:t>comparison between sample</w:t>
      </w:r>
      <w:r w:rsidRPr="00D155C4">
        <w:t xml:space="preserve"> and CTD </w:t>
      </w:r>
      <w:r>
        <w:t>salinity</w:t>
      </w:r>
      <w:r w:rsidRPr="00D155C4">
        <w:t xml:space="preserve"> </w:t>
      </w:r>
      <w:r>
        <w:t>was</w:t>
      </w:r>
      <w:r w:rsidRPr="00D155C4">
        <w:t xml:space="preserve"> </w:t>
      </w:r>
      <w:r>
        <w:t>examined for</w:t>
      </w:r>
      <w:r w:rsidRPr="00D155C4">
        <w:t xml:space="preserve"> large differences </w:t>
      </w:r>
      <w:r>
        <w:t>that would</w:t>
      </w:r>
      <w:r w:rsidRPr="00D155C4">
        <w:t xml:space="preserve"> indicat</w:t>
      </w:r>
      <w:r>
        <w:t>e a</w:t>
      </w:r>
      <w:r w:rsidRPr="00D155C4">
        <w:t xml:space="preserve"> sampl</w:t>
      </w:r>
      <w:r>
        <w:t>e collection</w:t>
      </w:r>
      <w:r w:rsidRPr="00D155C4">
        <w:t xml:space="preserve"> issue</w:t>
      </w:r>
      <w:r>
        <w:t>, such as a sample</w:t>
      </w:r>
      <w:r w:rsidRPr="00D155C4">
        <w:t xml:space="preserve"> drawn from the wrong </w:t>
      </w:r>
      <w:proofErr w:type="spellStart"/>
      <w:r w:rsidRPr="00D155C4">
        <w:t>Niskin</w:t>
      </w:r>
      <w:proofErr w:type="spellEnd"/>
      <w:r w:rsidRPr="00D155C4">
        <w:t xml:space="preserve"> bottle or </w:t>
      </w:r>
      <w:r>
        <w:t>a</w:t>
      </w:r>
      <w:r w:rsidRPr="00D155C4">
        <w:t xml:space="preserve"> </w:t>
      </w:r>
      <w:proofErr w:type="spellStart"/>
      <w:r w:rsidRPr="00D155C4">
        <w:t>Niskin</w:t>
      </w:r>
      <w:proofErr w:type="spellEnd"/>
      <w:r w:rsidRPr="00D155C4">
        <w:t xml:space="preserve"> bottle </w:t>
      </w:r>
      <w:r>
        <w:t>tripped at the wrong</w:t>
      </w:r>
      <w:r w:rsidRPr="00D155C4">
        <w:t xml:space="preserve"> depth. </w:t>
      </w:r>
      <w:r>
        <w:t xml:space="preserve">Samples that exceeded 8 times the root mean square error (RMSE) of </w:t>
      </w:r>
      <w:r w:rsidR="00D12B53">
        <w:t>the</w:t>
      </w:r>
      <w:r>
        <w:t xml:space="preserve"> linear relationship between sample and CTD salinity (a typical RMSE value is 0.12) received a flag of “3”. This large exceedance threshold was used to account for the expected high variance between CTD and discrete sample salinity within the surface layer. </w:t>
      </w:r>
    </w:p>
    <w:p w:rsidR="00AB4C9C" w:rsidRDefault="00AB4C9C" w:rsidP="00AB4C9C">
      <w:pPr>
        <w:ind w:firstLine="720"/>
      </w:pPr>
    </w:p>
    <w:p w:rsidR="00AB4C9C" w:rsidRPr="00770195" w:rsidRDefault="00AB4C9C" w:rsidP="00AB4C9C">
      <w:r>
        <w:rPr>
          <w:i/>
          <w:iCs/>
          <w:u w:val="single"/>
        </w:rPr>
        <w:lastRenderedPageBreak/>
        <w:t>Quality control of pCO</w:t>
      </w:r>
      <w:r w:rsidRPr="00853BCE">
        <w:rPr>
          <w:i/>
          <w:iCs/>
          <w:u w:val="single"/>
          <w:vertAlign w:val="subscript"/>
        </w:rPr>
        <w:t>2</w:t>
      </w:r>
      <w:r>
        <w:rPr>
          <w:i/>
          <w:iCs/>
          <w:u w:val="single"/>
        </w:rPr>
        <w:t xml:space="preserve"> measurements</w:t>
      </w:r>
    </w:p>
    <w:p w:rsidR="00AB4C9C" w:rsidRDefault="00AB4C9C" w:rsidP="00AB4C9C">
      <w:pPr>
        <w:ind w:firstLine="720"/>
      </w:pPr>
      <w:r>
        <w:t>Following the comparison to CTD data, we utilized a regional alkalinity-salinity relationship</w:t>
      </w:r>
      <w:r>
        <w:fldChar w:fldCharType="begin"/>
      </w:r>
      <w:r w:rsidR="00F659DC">
        <w:instrText xml:space="preserve"> ADDIN EN.CITE &lt;EndNote&gt;&lt;Cite&gt;&lt;Author&gt;Evans&lt;/Author&gt;&lt;Year&gt;2019&lt;/Year&gt;&lt;RecNum&gt;782&lt;/RecNum&gt;&lt;DisplayText&gt;&lt;style face="superscript"&gt;2&lt;/style&gt;&lt;/DisplayText&gt;&lt;record&gt;&lt;rec-number&gt;782&lt;/rec-number&gt;&lt;foreign-keys&gt;&lt;key app="EN" db-id="w950ea2scwf59ee9928pe0ag9xtwvetfftpd" timestamp="1523459775"&gt;782&lt;/key&gt;&lt;/foreign-keys&gt;&lt;ref-type name="Journal Article"&gt;17&lt;/ref-type&gt;&lt;contributors&gt;&lt;authors&gt;&lt;author&gt;Evans, W.&lt;/author&gt;&lt;author&gt;Pocock, K.&lt;/author&gt;&lt;author&gt;Hare, A.&lt;/author&gt;&lt;author&gt;Weekes, C.&lt;/author&gt;&lt;author&gt;Hales, B.&lt;/author&gt;&lt;author&gt;Jackson, J.&lt;/author&gt;&lt;author&gt;Gurney-Smith, H.&lt;/author&gt;&lt;author&gt;Mathis, J. T.&lt;/author&gt;&lt;author&gt;Alin, S. R.&lt;/author&gt;&lt;author&gt;Feely, R. A.&lt;/author&gt;&lt;/authors&gt;&lt;/contributors&gt;&lt;titles&gt;&lt;title&gt;&lt;style face="normal" font="default" size="100%"&gt;Marine CO&lt;/style&gt;&lt;style face="subscript" font="default" size="100%"&gt;2&lt;/style&gt;&lt;style face="normal" font="default" size="100%"&gt; Patterns in the Northern Salish Sea&lt;/style&gt;&lt;/title&gt;&lt;secondary-title&gt;Frontiers in Marine Science&lt;/secondary-title&gt;&lt;/titles&gt;&lt;periodical&gt;&lt;full-title&gt;Frontiers in Marine Science&lt;/full-title&gt;&lt;/periodical&gt;&lt;volume&gt;5&lt;/volume&gt;&lt;dates&gt;&lt;year&gt;2019&lt;/year&gt;&lt;/dates&gt;&lt;urls&gt;&lt;/urls&gt;&lt;electronic-resource-num&gt;10.3389/fmars.2018.00536&lt;/electronic-resource-num&gt;&lt;/record&gt;&lt;/Cite&gt;&lt;/EndNote&gt;</w:instrText>
      </w:r>
      <w:r>
        <w:fldChar w:fldCharType="separate"/>
      </w:r>
      <w:r w:rsidR="00F659DC" w:rsidRPr="00F659DC">
        <w:rPr>
          <w:noProof/>
          <w:vertAlign w:val="superscript"/>
        </w:rPr>
        <w:t>2</w:t>
      </w:r>
      <w:r>
        <w:fldChar w:fldCharType="end"/>
      </w:r>
      <w:r>
        <w:t xml:space="preserve"> to help </w:t>
      </w:r>
      <w:r w:rsidRPr="00ED4C9B">
        <w:t xml:space="preserve">identify </w:t>
      </w:r>
      <w:r>
        <w:t>questionable measurements of pCO</w:t>
      </w:r>
      <w:r w:rsidRPr="00003283">
        <w:rPr>
          <w:vertAlign w:val="subscript"/>
        </w:rPr>
        <w:t>2</w:t>
      </w:r>
      <w:r>
        <w:t xml:space="preserve"> recorded at the analysis temperature (pCO</w:t>
      </w:r>
      <w:r w:rsidRPr="00054072">
        <w:rPr>
          <w:vertAlign w:val="subscript"/>
        </w:rPr>
        <w:t>2</w:t>
      </w:r>
      <w:r>
        <w:t>@analysisT)</w:t>
      </w:r>
      <w:r w:rsidRPr="00ED4C9B">
        <w:t xml:space="preserve">. </w:t>
      </w:r>
      <w:r>
        <w:t>Implicit here was the assumption that a</w:t>
      </w:r>
      <w:r w:rsidRPr="00ED4C9B">
        <w:t xml:space="preserve">nalytical errors in </w:t>
      </w:r>
      <w:r>
        <w:t xml:space="preserve">the </w:t>
      </w:r>
      <w:r w:rsidRPr="00ED4C9B">
        <w:t>TCO</w:t>
      </w:r>
      <w:r w:rsidRPr="00ED4C9B">
        <w:rPr>
          <w:vertAlign w:val="subscript"/>
        </w:rPr>
        <w:t>2</w:t>
      </w:r>
      <w:r w:rsidRPr="00ED4C9B">
        <w:t xml:space="preserve"> </w:t>
      </w:r>
      <w:r>
        <w:t>measurement will</w:t>
      </w:r>
      <w:r w:rsidRPr="00ED4C9B">
        <w:t xml:space="preserve"> have </w:t>
      </w:r>
      <w:r>
        <w:t>been</w:t>
      </w:r>
      <w:r w:rsidRPr="00ED4C9B">
        <w:t xml:space="preserve"> </w:t>
      </w:r>
      <w:r>
        <w:t>identified</w:t>
      </w:r>
      <w:r w:rsidRPr="00ED4C9B">
        <w:t xml:space="preserve"> during the </w:t>
      </w:r>
      <w:r>
        <w:t>evaluation of Excel worksheet calculations</w:t>
      </w:r>
      <w:r>
        <w:fldChar w:fldCharType="begin"/>
      </w:r>
      <w:r w:rsidR="00F659DC">
        <w:instrText xml:space="preserve"> ADDIN EN.CITE &lt;EndNote&gt;&lt;Cite&gt;&lt;Author&gt;Campbell&lt;/Author&gt;&lt;Year&gt;2023&lt;/Year&gt;&lt;RecNum&gt;1508&lt;/RecNum&gt;&lt;DisplayText&gt;&lt;style face="superscript"&gt;1&lt;/style&gt;&lt;/DisplayText&gt;&lt;record&gt;&lt;rec-number&gt;1508&lt;/rec-number&gt;&lt;foreign-keys&gt;&lt;key app="EN" db-id="w950ea2scwf59ee9928pe0ag9xtwvetfftpd" timestamp="1707327606"&gt;1508&lt;/key&gt;&lt;/foreign-keys&gt;&lt;ref-type name="Journal Article"&gt;17&lt;/ref-type&gt;&lt;contributors&gt;&lt;authors&gt;&lt;author&gt;Campbell, K.&lt;/author&gt;&lt;author&gt;Weekes, C.&lt;/author&gt;&lt;author&gt;Evans, W.&lt;/author&gt;&lt;author&gt;Gimenez, Iria&lt;/author&gt;&lt;author&gt;Hales, B&lt;/author&gt;&lt;/authors&gt;&lt;/contributors&gt;&lt;titles&gt;&lt;title&gt;&lt;style face="normal" font="default" size="100%"&gt;Hakai Institute’s Burke-o-Lator TCO&lt;/style&gt;&lt;style face="subscript" font="default" size="100%"&gt;2&lt;/style&gt;&lt;style face="normal" font="default" size="100%"&gt;/pCO&lt;/style&gt;&lt;style face="subscript" font="default" size="100%"&gt;2&lt;/style&gt;&lt;style face="normal" font="default" size="100%"&gt; Analyzer Discrete Sample Analysis Protocols (v2.0)&lt;/style&gt;&lt;/title&gt;&lt;/titles&gt;&lt;dates&gt;&lt;year&gt;2023&lt;/year&gt;&lt;/dates&gt;&lt;urls&gt;&lt;/urls&gt;&lt;electronic-resource-num&gt;10.21966/1.521066&lt;/electronic-resource-num&gt;&lt;/record&gt;&lt;/Cite&gt;&lt;/EndNote&gt;</w:instrText>
      </w:r>
      <w:r>
        <w:fldChar w:fldCharType="separate"/>
      </w:r>
      <w:r w:rsidR="00F659DC" w:rsidRPr="00F659DC">
        <w:rPr>
          <w:noProof/>
          <w:vertAlign w:val="superscript"/>
        </w:rPr>
        <w:t>1</w:t>
      </w:r>
      <w:r>
        <w:fldChar w:fldCharType="end"/>
      </w:r>
      <w:r>
        <w:t>. Therefore, flag “1” TCO</w:t>
      </w:r>
      <w:r w:rsidRPr="00741545">
        <w:rPr>
          <w:vertAlign w:val="subscript"/>
        </w:rPr>
        <w:t>2</w:t>
      </w:r>
      <w:r>
        <w:t xml:space="preserve"> measurements could be combined with salinity-determined alkalinity to derive pCO</w:t>
      </w:r>
      <w:r w:rsidRPr="00741545">
        <w:rPr>
          <w:vertAlign w:val="subscript"/>
        </w:rPr>
        <w:t>2</w:t>
      </w:r>
      <w:r>
        <w:t>, and this derived pCO</w:t>
      </w:r>
      <w:r w:rsidRPr="00741545">
        <w:rPr>
          <w:vertAlign w:val="subscript"/>
        </w:rPr>
        <w:t>2</w:t>
      </w:r>
      <w:r>
        <w:t xml:space="preserve"> could then be compared with pCO</w:t>
      </w:r>
      <w:r w:rsidRPr="00054072">
        <w:rPr>
          <w:vertAlign w:val="subscript"/>
        </w:rPr>
        <w:t>2</w:t>
      </w:r>
      <w:r>
        <w:t>@analysisT</w:t>
      </w:r>
      <w:r w:rsidDel="00954690">
        <w:t xml:space="preserve"> </w:t>
      </w:r>
      <w:r>
        <w:t>to isolate questionable measurements. A second assumption here is that the regional alkalinity-salinity relationship was robustly constrained with minimal non-conservative character in alkalinity</w:t>
      </w:r>
      <w:r>
        <w:fldChar w:fldCharType="begin"/>
      </w:r>
      <w:r w:rsidR="00F659DC">
        <w:instrText xml:space="preserve"> ADDIN EN.CITE &lt;EndNote&gt;&lt;Cite&gt;&lt;Author&gt;Evans&lt;/Author&gt;&lt;Year&gt;2019&lt;/Year&gt;&lt;RecNum&gt;782&lt;/RecNum&gt;&lt;DisplayText&gt;&lt;style face="superscript"&gt;2&lt;/style&gt;&lt;/DisplayText&gt;&lt;record&gt;&lt;rec-number&gt;782&lt;/rec-number&gt;&lt;foreign-keys&gt;&lt;key app="EN" db-id="w950ea2scwf59ee9928pe0ag9xtwvetfftpd" timestamp="1523459775"&gt;782&lt;/key&gt;&lt;/foreign-keys&gt;&lt;ref-type name="Journal Article"&gt;17&lt;/ref-type&gt;&lt;contributors&gt;&lt;authors&gt;&lt;author&gt;Evans, W.&lt;/author&gt;&lt;author&gt;Pocock, K.&lt;/author&gt;&lt;author&gt;Hare, A.&lt;/author&gt;&lt;author&gt;Weekes, C.&lt;/author&gt;&lt;author&gt;Hales, B.&lt;/author&gt;&lt;author&gt;Jackson, J.&lt;/author&gt;&lt;author&gt;Gurney-Smith, H.&lt;/author&gt;&lt;author&gt;Mathis, J. T.&lt;/author&gt;&lt;author&gt;Alin, S. R.&lt;/author&gt;&lt;author&gt;Feely, R. A.&lt;/author&gt;&lt;/authors&gt;&lt;/contributors&gt;&lt;titles&gt;&lt;title&gt;&lt;style face="normal" font="default" size="100%"&gt;Marine CO&lt;/style&gt;&lt;style face="subscript" font="default" size="100%"&gt;2&lt;/style&gt;&lt;style face="normal" font="default" size="100%"&gt; Patterns in the Northern Salish Sea&lt;/style&gt;&lt;/title&gt;&lt;secondary-title&gt;Frontiers in Marine Science&lt;/secondary-title&gt;&lt;/titles&gt;&lt;periodical&gt;&lt;full-title&gt;Frontiers in Marine Science&lt;/full-title&gt;&lt;/periodical&gt;&lt;volume&gt;5&lt;/volume&gt;&lt;dates&gt;&lt;year&gt;2019&lt;/year&gt;&lt;/dates&gt;&lt;urls&gt;&lt;/urls&gt;&lt;electronic-resource-num&gt;10.3389/fmars.2018.00536&lt;/electronic-resource-num&gt;&lt;/record&gt;&lt;/Cite&gt;&lt;/EndNote&gt;</w:instrText>
      </w:r>
      <w:r>
        <w:fldChar w:fldCharType="separate"/>
      </w:r>
      <w:r w:rsidR="00F659DC" w:rsidRPr="00F659DC">
        <w:rPr>
          <w:noProof/>
          <w:vertAlign w:val="superscript"/>
        </w:rPr>
        <w:t>2</w:t>
      </w:r>
      <w:r>
        <w:fldChar w:fldCharType="end"/>
      </w:r>
      <w:r>
        <w:t xml:space="preserve">. </w:t>
      </w:r>
      <w:r w:rsidRPr="00ED4C9B">
        <w:t xml:space="preserve">If </w:t>
      </w:r>
      <w:r>
        <w:t>a</w:t>
      </w:r>
      <w:r w:rsidRPr="00ED4C9B">
        <w:t xml:space="preserve"> pCO</w:t>
      </w:r>
      <w:r w:rsidRPr="00ED4C9B">
        <w:rPr>
          <w:vertAlign w:val="subscript"/>
        </w:rPr>
        <w:t>2</w:t>
      </w:r>
      <w:r w:rsidRPr="00ED4C9B">
        <w:t xml:space="preserve"> </w:t>
      </w:r>
      <w:r>
        <w:t>measurement appeared</w:t>
      </w:r>
      <w:r w:rsidRPr="00ED4C9B">
        <w:t xml:space="preserve"> </w:t>
      </w:r>
      <w:r>
        <w:t>questionable</w:t>
      </w:r>
      <w:r w:rsidRPr="00ED4C9B">
        <w:t xml:space="preserve">, </w:t>
      </w:r>
      <w:r>
        <w:t>a large difference manifested between pCO</w:t>
      </w:r>
      <w:r w:rsidRPr="00054072">
        <w:rPr>
          <w:vertAlign w:val="subscript"/>
        </w:rPr>
        <w:t>2</w:t>
      </w:r>
      <w:r>
        <w:t>@analysisT and the derived value;</w:t>
      </w:r>
      <w:r w:rsidRPr="00ED4C9B">
        <w:t xml:space="preserve"> </w:t>
      </w:r>
      <w:r>
        <w:t>however, the extent of this difference was dependent on the buffering state of the sample (</w:t>
      </w:r>
      <w:r w:rsidRPr="006D55F2">
        <w:rPr>
          <w:i/>
          <w:iCs/>
        </w:rPr>
        <w:t>i.e.</w:t>
      </w:r>
      <w:r>
        <w:t>, the ratio between alkalinity and TCO</w:t>
      </w:r>
      <w:r w:rsidRPr="0022333F">
        <w:rPr>
          <w:vertAlign w:val="subscript"/>
        </w:rPr>
        <w:t>2</w:t>
      </w:r>
      <w:r>
        <w:t xml:space="preserve">). </w:t>
      </w:r>
    </w:p>
    <w:p w:rsidR="00AB4C9C" w:rsidRDefault="00AB4C9C" w:rsidP="00AB4C9C">
      <w:pPr>
        <w:ind w:firstLine="720"/>
      </w:pPr>
      <w:r>
        <w:t>To aid in evaluating the difference between measured and derived pCO</w:t>
      </w:r>
      <w:r w:rsidRPr="00D747CF">
        <w:rPr>
          <w:vertAlign w:val="subscript"/>
        </w:rPr>
        <w:t>2</w:t>
      </w:r>
      <w:r>
        <w:t xml:space="preserve"> across a wide range of buffering states, we utilized the uncertainty of the regional-alkalinity salinity relationship (characterized by the root mean square error; RMSE) to create a hypothetical pCO</w:t>
      </w:r>
      <w:r w:rsidRPr="00D842C1">
        <w:rPr>
          <w:vertAlign w:val="subscript"/>
        </w:rPr>
        <w:t>2</w:t>
      </w:r>
      <w:r>
        <w:t xml:space="preserve"> threshold. We considered two cases: (1) seawater containing high TCO</w:t>
      </w:r>
      <w:r w:rsidRPr="00E213C0">
        <w:rPr>
          <w:vertAlign w:val="subscript"/>
        </w:rPr>
        <w:t>2</w:t>
      </w:r>
      <w:r>
        <w:t xml:space="preserve"> (nominally 2100 µmol kg</w:t>
      </w:r>
      <w:r w:rsidRPr="00E213C0">
        <w:rPr>
          <w:vertAlign w:val="superscript"/>
        </w:rPr>
        <w:t>-1</w:t>
      </w:r>
      <w:r>
        <w:t xml:space="preserve"> for oceanographic station QU39), and (2) seawater containing low TCO</w:t>
      </w:r>
      <w:r w:rsidRPr="00E213C0">
        <w:rPr>
          <w:vertAlign w:val="subscript"/>
        </w:rPr>
        <w:t>2</w:t>
      </w:r>
      <w:r>
        <w:t xml:space="preserve"> (nominally 1600 µmol kg</w:t>
      </w:r>
      <w:r w:rsidRPr="00E213C0">
        <w:rPr>
          <w:vertAlign w:val="superscript"/>
        </w:rPr>
        <w:t>-1</w:t>
      </w:r>
      <w:r>
        <w:t>). Constant temperature and salinity values of 18.7°C and 29.6 (median analysis temperature and sample salinity in the QU39 dataset), respectively, were used to create the hypothetical pCO</w:t>
      </w:r>
      <w:r w:rsidRPr="00C05E5C">
        <w:rPr>
          <w:vertAlign w:val="subscript"/>
        </w:rPr>
        <w:t>2</w:t>
      </w:r>
      <w:r>
        <w:t xml:space="preserve"> thresholds for each case. Alkalinity was calculated for a range of alkalinity and TCO</w:t>
      </w:r>
      <w:r w:rsidRPr="0022333F">
        <w:rPr>
          <w:vertAlign w:val="subscript"/>
        </w:rPr>
        <w:t>2</w:t>
      </w:r>
      <w:r>
        <w:t xml:space="preserve"> ratios (Alk:TCO</w:t>
      </w:r>
      <w:r w:rsidRPr="00CF37F4">
        <w:rPr>
          <w:vertAlign w:val="subscript"/>
        </w:rPr>
        <w:t>2</w:t>
      </w:r>
      <w:r>
        <w:t xml:space="preserve"> from 0.9 to 1.4) for both cases. Then the RMSE of the regional alkalinity-salinity relationship (22.47 µmol kg</w:t>
      </w:r>
      <w:r w:rsidRPr="00BB68CE">
        <w:rPr>
          <w:vertAlign w:val="superscript"/>
        </w:rPr>
        <w:t>-1</w:t>
      </w:r>
      <w:r>
        <w:t>) was either added to or subtracted from alkalinity to derive high or low pCO</w:t>
      </w:r>
      <w:r w:rsidRPr="0047286A">
        <w:rPr>
          <w:vertAlign w:val="subscript"/>
        </w:rPr>
        <w:t>2</w:t>
      </w:r>
      <w:r>
        <w:t xml:space="preserve"> values across the range of Alk:TCO</w:t>
      </w:r>
      <w:r w:rsidRPr="00CF37F4">
        <w:rPr>
          <w:vertAlign w:val="subscript"/>
        </w:rPr>
        <w:t>2</w:t>
      </w:r>
      <w:r>
        <w:t xml:space="preserve"> ratios for the high and low TCO</w:t>
      </w:r>
      <w:r w:rsidRPr="00C66252">
        <w:rPr>
          <w:vertAlign w:val="subscript"/>
        </w:rPr>
        <w:t>2</w:t>
      </w:r>
      <w:r>
        <w:t xml:space="preserve"> cases. The difference between high and low pCO</w:t>
      </w:r>
      <w:r w:rsidRPr="00DD46A4">
        <w:rPr>
          <w:vertAlign w:val="subscript"/>
        </w:rPr>
        <w:t>2</w:t>
      </w:r>
      <w:r>
        <w:t xml:space="preserve"> values reflects uncertainty in derived pCO</w:t>
      </w:r>
      <w:r w:rsidRPr="00DD46A4">
        <w:rPr>
          <w:vertAlign w:val="subscript"/>
        </w:rPr>
        <w:t>2</w:t>
      </w:r>
      <w:r>
        <w:t xml:space="preserve"> across the range of Alk:TCO</w:t>
      </w:r>
      <w:r w:rsidRPr="00CF37F4">
        <w:rPr>
          <w:vertAlign w:val="subscript"/>
        </w:rPr>
        <w:t>2</w:t>
      </w:r>
      <w:r>
        <w:t xml:space="preserve"> ratios, and was similar between the high and low TCO</w:t>
      </w:r>
      <w:r w:rsidRPr="00DD46A4">
        <w:rPr>
          <w:vertAlign w:val="subscript"/>
        </w:rPr>
        <w:t>2</w:t>
      </w:r>
      <w:r>
        <w:t xml:space="preserve"> cases. The difference between high and low pCO</w:t>
      </w:r>
      <w:r w:rsidRPr="003B6240">
        <w:rPr>
          <w:vertAlign w:val="subscript"/>
        </w:rPr>
        <w:t>2</w:t>
      </w:r>
      <w:r>
        <w:t xml:space="preserve"> values across the range of Alk:TCO</w:t>
      </w:r>
      <w:r w:rsidRPr="00CF37F4">
        <w:rPr>
          <w:vertAlign w:val="subscript"/>
        </w:rPr>
        <w:t>2</w:t>
      </w:r>
      <w:r>
        <w:t xml:space="preserve"> ratios was then scaled up by a factor of 2 in order to account for divergences from the regional alkalinity-salinity relationship and the constant temperature and salinity values, and then these scaled values were used as the hypothetical pCO</w:t>
      </w:r>
      <w:r w:rsidRPr="003B6240">
        <w:rPr>
          <w:vertAlign w:val="subscript"/>
        </w:rPr>
        <w:t>2</w:t>
      </w:r>
      <w:r>
        <w:t xml:space="preserve"> threshold to isolate questionable measurements (Figure </w:t>
      </w:r>
      <w:r w:rsidR="00E34382">
        <w:t>1</w:t>
      </w:r>
      <w:r>
        <w:t xml:space="preserve">).  </w:t>
      </w:r>
    </w:p>
    <w:p w:rsidR="00AB4C9C" w:rsidRPr="00556AD7" w:rsidRDefault="00AB4C9C" w:rsidP="00AB4C9C">
      <w:pPr>
        <w:rPr>
          <w:sz w:val="28"/>
          <w:szCs w:val="28"/>
        </w:rPr>
      </w:pPr>
      <w:r>
        <w:rPr>
          <w:noProof/>
          <w:sz w:val="28"/>
          <w:szCs w:val="28"/>
          <w14:ligatures w14:val="standardContextual"/>
        </w:rPr>
        <w:lastRenderedPageBreak/>
        <w:drawing>
          <wp:inline distT="0" distB="0" distL="0" distR="0" wp14:anchorId="5FE548CB" wp14:editId="7A267AD8">
            <wp:extent cx="5943600" cy="4448810"/>
            <wp:effectExtent l="0" t="0" r="0" b="0"/>
            <wp:docPr id="90115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7513" name="Picture 901157513"/>
                    <pic:cNvPicPr/>
                  </pic:nvPicPr>
                  <pic:blipFill>
                    <a:blip r:embed="rId7">
                      <a:extLst>
                        <a:ext uri="{28A0092B-C50C-407E-A947-70E740481C1C}">
                          <a14:useLocalDpi xmlns:a14="http://schemas.microsoft.com/office/drawing/2010/main" val="0"/>
                        </a:ext>
                      </a:extLst>
                    </a:blip>
                    <a:stretch>
                      <a:fillRect/>
                    </a:stretch>
                  </pic:blipFill>
                  <pic:spPr>
                    <a:xfrm>
                      <a:off x="0" y="0"/>
                      <a:ext cx="5943600" cy="4448810"/>
                    </a:xfrm>
                    <a:prstGeom prst="rect">
                      <a:avLst/>
                    </a:prstGeom>
                  </pic:spPr>
                </pic:pic>
              </a:graphicData>
            </a:graphic>
          </wp:inline>
        </w:drawing>
      </w:r>
    </w:p>
    <w:p w:rsidR="00AB4C9C" w:rsidRDefault="00AB4C9C" w:rsidP="00AB4C9C">
      <w:r>
        <w:rPr>
          <w:b/>
          <w:bCs/>
        </w:rPr>
        <w:t>Figure</w:t>
      </w:r>
      <w:r w:rsidRPr="009264BE">
        <w:rPr>
          <w:b/>
          <w:bCs/>
        </w:rPr>
        <w:t xml:space="preserve"> </w:t>
      </w:r>
      <w:r w:rsidR="000C6713">
        <w:rPr>
          <w:b/>
          <w:bCs/>
        </w:rPr>
        <w:t>1</w:t>
      </w:r>
      <w:r w:rsidRPr="009264BE">
        <w:rPr>
          <w:b/>
          <w:bCs/>
        </w:rPr>
        <w:t>:</w:t>
      </w:r>
      <w:r>
        <w:t xml:space="preserve"> The flagging of pCO</w:t>
      </w:r>
      <w:r w:rsidRPr="00054072">
        <w:rPr>
          <w:vertAlign w:val="subscript"/>
        </w:rPr>
        <w:t>2</w:t>
      </w:r>
      <w:r>
        <w:t>@analysisT</w:t>
      </w:r>
      <w:r w:rsidDel="00954690">
        <w:t xml:space="preserve"> </w:t>
      </w:r>
      <w:r>
        <w:t>that exceeded a hypothetical pCO</w:t>
      </w:r>
      <w:r w:rsidRPr="00766D00">
        <w:rPr>
          <w:vertAlign w:val="subscript"/>
        </w:rPr>
        <w:t>2</w:t>
      </w:r>
      <w:r>
        <w:t xml:space="preserve"> threshold across a range of Alk:TCO</w:t>
      </w:r>
      <w:r w:rsidRPr="00CF37F4">
        <w:rPr>
          <w:vertAlign w:val="subscript"/>
        </w:rPr>
        <w:t>2</w:t>
      </w:r>
      <w:r>
        <w:t xml:space="preserve"> ratios (blue lines). </w:t>
      </w:r>
      <w:r w:rsidRPr="00556AD7">
        <w:t>The red lines are the theoretical differences between pCO</w:t>
      </w:r>
      <w:r w:rsidRPr="00556AD7">
        <w:rPr>
          <w:vertAlign w:val="subscript"/>
        </w:rPr>
        <w:t>2</w:t>
      </w:r>
      <w:r w:rsidRPr="00556AD7">
        <w:t>(TCO</w:t>
      </w:r>
      <w:r w:rsidRPr="00556AD7">
        <w:rPr>
          <w:vertAlign w:val="subscript"/>
        </w:rPr>
        <w:t>2</w:t>
      </w:r>
      <w:r w:rsidRPr="00556AD7">
        <w:t>,</w:t>
      </w:r>
      <w:r>
        <w:t xml:space="preserve"> </w:t>
      </w:r>
      <w:proofErr w:type="spellStart"/>
      <w:r>
        <w:t>Alk</w:t>
      </w:r>
      <w:proofErr w:type="spellEnd"/>
      <w:r w:rsidRPr="00556AD7">
        <w:t>(S)+RMSE) and pCO</w:t>
      </w:r>
      <w:r w:rsidRPr="00556AD7">
        <w:rPr>
          <w:vertAlign w:val="subscript"/>
        </w:rPr>
        <w:t>2</w:t>
      </w:r>
      <w:r w:rsidRPr="00556AD7">
        <w:t>(TCO</w:t>
      </w:r>
      <w:r w:rsidRPr="00556AD7">
        <w:rPr>
          <w:vertAlign w:val="subscript"/>
        </w:rPr>
        <w:t>2</w:t>
      </w:r>
      <w:r w:rsidRPr="00556AD7">
        <w:t>,</w:t>
      </w:r>
      <w:r>
        <w:t xml:space="preserve"> </w:t>
      </w:r>
      <w:proofErr w:type="spellStart"/>
      <w:r>
        <w:t>Alk</w:t>
      </w:r>
      <w:proofErr w:type="spellEnd"/>
      <w:r w:rsidRPr="00556AD7">
        <w:t xml:space="preserve">(S)-RMSE) and the blue lines are those differences scaled up by </w:t>
      </w:r>
      <w:r>
        <w:t>2</w:t>
      </w:r>
      <w:r w:rsidRPr="00556AD7">
        <w:t xml:space="preserve">. </w:t>
      </w:r>
      <w:r>
        <w:t>Data points are</w:t>
      </w:r>
      <w:r w:rsidRPr="00556AD7">
        <w:t xml:space="preserve"> </w:t>
      </w:r>
      <w:r>
        <w:t>pCO</w:t>
      </w:r>
      <w:r w:rsidRPr="00054072">
        <w:rPr>
          <w:vertAlign w:val="subscript"/>
        </w:rPr>
        <w:t>2</w:t>
      </w:r>
      <w:r>
        <w:t>@analysisT</w:t>
      </w:r>
      <w:r w:rsidRPr="00556AD7">
        <w:t xml:space="preserve"> </w:t>
      </w:r>
      <w:r>
        <w:t>minus</w:t>
      </w:r>
      <w:r w:rsidRPr="00556AD7">
        <w:t xml:space="preserve"> pCO</w:t>
      </w:r>
      <w:r w:rsidRPr="00766D00">
        <w:rPr>
          <w:vertAlign w:val="subscript"/>
        </w:rPr>
        <w:t>2</w:t>
      </w:r>
      <w:r w:rsidRPr="00556AD7">
        <w:t>(TCO2,</w:t>
      </w:r>
      <w:r>
        <w:t>Alk</w:t>
      </w:r>
      <w:r w:rsidRPr="00556AD7">
        <w:t>(S))</w:t>
      </w:r>
      <w:r>
        <w:t>, and values</w:t>
      </w:r>
      <w:r w:rsidRPr="00556AD7">
        <w:t xml:space="preserve"> outside of the range of the blue lines </w:t>
      </w:r>
      <w:r>
        <w:t>were</w:t>
      </w:r>
      <w:r w:rsidRPr="00556AD7">
        <w:t xml:space="preserve"> identified as questionable and given a flag</w:t>
      </w:r>
      <w:r>
        <w:t xml:space="preserve"> </w:t>
      </w:r>
      <w:r w:rsidRPr="00556AD7">
        <w:t>of “3”.</w:t>
      </w:r>
    </w:p>
    <w:p w:rsidR="00AB4C9C" w:rsidRDefault="00AB4C9C" w:rsidP="00AB4C9C"/>
    <w:p w:rsidR="00AB4C9C" w:rsidRDefault="00AB4C9C" w:rsidP="00AB4C9C">
      <w:r>
        <w:rPr>
          <w:i/>
          <w:iCs/>
          <w:u w:val="single"/>
        </w:rPr>
        <w:t>Final quality control evaluation</w:t>
      </w:r>
    </w:p>
    <w:p w:rsidR="00AB4C9C" w:rsidRPr="00A6389A" w:rsidRDefault="00AB4C9C" w:rsidP="00AB4C9C">
      <w:pPr>
        <w:ind w:firstLine="720"/>
        <w:rPr>
          <w:b/>
          <w:bCs/>
        </w:rPr>
      </w:pPr>
      <w:r>
        <w:t xml:space="preserve">Final checks of the data quality involved plotting the derived alkalinity versus salinity and examining assorted property plots. In a region where the relationship between alkalinity and salinity is quasi-linear (sites or surveys that encompass deep samples from off the continental shelf may have two linear regions in an alkalinity-salinity plot; </w:t>
      </w:r>
      <w:r w:rsidRPr="00EE1338">
        <w:rPr>
          <w:i/>
          <w:iCs/>
        </w:rPr>
        <w:t>i.e.</w:t>
      </w:r>
      <w:r>
        <w:t>, a “hockey stick” curve) and robust, this check can be used to identify outliers that may represent questionable data not captured by the above steps. Property versus time plots (for pCO</w:t>
      </w:r>
      <w:r w:rsidRPr="00914859">
        <w:rPr>
          <w:vertAlign w:val="subscript"/>
        </w:rPr>
        <w:t>2</w:t>
      </w:r>
      <w:r>
        <w:t xml:space="preserve"> and alkalinity) for each sampling depth (</w:t>
      </w:r>
      <w:r w:rsidRPr="00914859">
        <w:rPr>
          <w:i/>
          <w:iCs/>
        </w:rPr>
        <w:t>i.e.</w:t>
      </w:r>
      <w:r>
        <w:t>, treating each sampling depth as a distinct time series), property versus depth plots (for pCO</w:t>
      </w:r>
      <w:r w:rsidRPr="00914859">
        <w:rPr>
          <w:vertAlign w:val="subscript"/>
        </w:rPr>
        <w:t>2</w:t>
      </w:r>
      <w:r>
        <w:t>, TCO</w:t>
      </w:r>
      <w:r w:rsidRPr="00914859">
        <w:rPr>
          <w:vertAlign w:val="subscript"/>
        </w:rPr>
        <w:t>2</w:t>
      </w:r>
      <w:r>
        <w:t>, and alkalinity), and property versus property plots (TCO</w:t>
      </w:r>
      <w:r w:rsidRPr="00914859">
        <w:rPr>
          <w:vertAlign w:val="subscript"/>
        </w:rPr>
        <w:t>2</w:t>
      </w:r>
      <w:r>
        <w:t xml:space="preserve"> versus oxygen, pCO</w:t>
      </w:r>
      <w:r w:rsidRPr="00914859">
        <w:rPr>
          <w:vertAlign w:val="subscript"/>
        </w:rPr>
        <w:t>2</w:t>
      </w:r>
      <w:r>
        <w:t xml:space="preserve"> versus oxygen, and TCO</w:t>
      </w:r>
      <w:r w:rsidRPr="00914859">
        <w:rPr>
          <w:vertAlign w:val="subscript"/>
        </w:rPr>
        <w:t>2</w:t>
      </w:r>
      <w:r>
        <w:t xml:space="preserve"> versus nitrite plus nitrate) were used to evaluate the dataset for missed outliers. Finally, triplicate measurements were statistically evaluated (below) with medians retained for the final dataset, and quality control flag values were adjusted to conform to conform to a WOCE-style flagging scheme</w:t>
      </w:r>
      <w:r>
        <w:fldChar w:fldCharType="begin"/>
      </w:r>
      <w:r w:rsidR="00F659DC">
        <w:instrText xml:space="preserve"> ADDIN EN.CITE &lt;EndNote&gt;&lt;Cite&gt;&lt;Author&gt;Jiang&lt;/Author&gt;&lt;Year&gt;2022&lt;/Year&gt;&lt;RecNum&gt;1537&lt;/RecNum&gt;&lt;DisplayText&gt;&lt;style face="superscript"&gt;3&lt;/style&gt;&lt;/DisplayText&gt;&lt;record&gt;&lt;rec-number&gt;1537&lt;/rec-number&gt;&lt;foreign-keys&gt;&lt;key app="EN" db-id="w950ea2scwf59ee9928pe0ag9xtwvetfftpd" timestamp="1725650462"&gt;1537&lt;/key&gt;&lt;/foreign-keys&gt;&lt;ref-type name="Journal Article"&gt;17&lt;/ref-type&gt;&lt;contributors&gt;&lt;authors&gt;&lt;author&gt;Jiang, L.-Q.&lt;/author&gt;&lt;author&gt;Pierrot, D.&lt;/author&gt;&lt;author&gt;Wanninkhof, R.&lt;/author&gt;&lt;author&gt;Feely, R. A.&lt;/author&gt;&lt;author&gt;Tilbrook, B.&lt;/author&gt;&lt;author&gt;Alin, S.&lt;/author&gt;&lt;author&gt;Barbero, L.&lt;/author&gt;&lt;author&gt;Byrne, R. H.&lt;/author&gt;&lt;author&gt;Carter, B. R.&lt;/author&gt;&lt;author&gt;Dickson, Andrew G.&lt;/author&gt;&lt;author&gt;Gattuso, J-P&lt;/author&gt;&lt;author&gt;Greeley, D.&lt;/author&gt;&lt;author&gt;Hoppema, M.&lt;/author&gt;&lt;author&gt;Humphreys, M. P.&lt;/author&gt;&lt;author&gt;Kartensen, J.&lt;/author&gt;&lt;author&gt;Lange, N.&lt;/author&gt;&lt;author&gt;Lauvet, S. K.&lt;/author&gt;&lt;author&gt;Lewis, E. R.&lt;/author&gt;&lt;author&gt;Olsen, A.&lt;/author&gt;&lt;author&gt;Pérez, Fiz F&lt;/author&gt;&lt;author&gt;Sabine, C.&lt;/author&gt;&lt;author&gt;Sharp, J. D.&lt;/author&gt;&lt;author&gt;Tanhua, T.&lt;/author&gt;&lt;author&gt;Trull, T. W.&lt;/author&gt;&lt;author&gt;Velo, A.&lt;/author&gt;&lt;author&gt;Allegra, A. J.&lt;/author&gt;&lt;author&gt;Barker, P.&lt;/author&gt;&lt;author&gt;Burger, E.&lt;/author&gt;&lt;author&gt;Cai, W. J.&lt;/author&gt;&lt;author&gt;Chen, Chen-Tung Arthur&lt;/author&gt;&lt;author&gt;Cross, J.&lt;/author&gt;&lt;author&gt;Garcia, H&lt;/author&gt;&lt;author&gt;Hernandez-Ayon, J. Martin&lt;/author&gt;&lt;author&gt;Hu, X.&lt;/author&gt;&lt;author&gt;Kozyr, A.&lt;/author&gt;&lt;author&gt;Langdon, Chris&lt;/author&gt;&lt;author&gt;Lee, K.&lt;/author&gt;&lt;author&gt;Salisbury, J.&lt;/author&gt;&lt;author&gt;Wang, Z. A.&lt;/author&gt;&lt;author&gt;Xue, L.&lt;/author&gt;&lt;/authors&gt;&lt;/contributors&gt;&lt;titles&gt;&lt;title&gt;Best Practices Data Standards for Discrete Chemical Oceanographic Observations&lt;/title&gt;&lt;secondary-title&gt;Frontiers in Marine Science&lt;/secondary-title&gt;&lt;/titles&gt;&lt;periodical&gt;&lt;full-title&gt;Frontiers in Marine Science&lt;/full-title&gt;&lt;/periodical&gt;&lt;pages&gt;10.3389/fmars.2021.705638&lt;/pages&gt;&lt;volume&gt;8&lt;/volume&gt;&lt;dates&gt;&lt;year&gt;2022&lt;/year&gt;&lt;/dates&gt;&lt;urls&gt;&lt;/urls&gt;&lt;/record&gt;&lt;/Cite&gt;&lt;/EndNote&gt;</w:instrText>
      </w:r>
      <w:r>
        <w:fldChar w:fldCharType="separate"/>
      </w:r>
      <w:r w:rsidR="00F659DC" w:rsidRPr="00F659DC">
        <w:rPr>
          <w:noProof/>
          <w:vertAlign w:val="superscript"/>
        </w:rPr>
        <w:t>3</w:t>
      </w:r>
      <w:r>
        <w:fldChar w:fldCharType="end"/>
      </w:r>
      <w:r w:rsidR="00794DC4">
        <w:t xml:space="preserve"> (2 = acceptable, 3 = questionable, </w:t>
      </w:r>
      <w:r w:rsidR="006F648A">
        <w:t xml:space="preserve">6 = median of replicates, </w:t>
      </w:r>
      <w:r w:rsidR="002D203D">
        <w:t>9 = missing value).</w:t>
      </w:r>
    </w:p>
    <w:p w:rsidR="00AB4C9C" w:rsidRDefault="00AB4C9C" w:rsidP="00AB4C9C">
      <w:pPr>
        <w:ind w:firstLine="720"/>
        <w:rPr>
          <w:b/>
          <w:bCs/>
        </w:rPr>
      </w:pPr>
    </w:p>
    <w:p w:rsidR="00AB4C9C" w:rsidRPr="00BB2197" w:rsidRDefault="00AB4C9C" w:rsidP="00AB4C9C">
      <w:pPr>
        <w:rPr>
          <w:b/>
          <w:bCs/>
          <w:u w:val="single"/>
        </w:rPr>
      </w:pPr>
      <w:r>
        <w:rPr>
          <w:i/>
          <w:iCs/>
          <w:u w:val="single"/>
        </w:rPr>
        <w:t>Evaluating TCO</w:t>
      </w:r>
      <w:r w:rsidRPr="00853BCE">
        <w:rPr>
          <w:i/>
          <w:iCs/>
          <w:u w:val="single"/>
          <w:vertAlign w:val="subscript"/>
        </w:rPr>
        <w:t>2</w:t>
      </w:r>
      <w:r>
        <w:rPr>
          <w:i/>
          <w:iCs/>
          <w:u w:val="single"/>
        </w:rPr>
        <w:t xml:space="preserve"> and pCO</w:t>
      </w:r>
      <w:r w:rsidRPr="00853BCE">
        <w:rPr>
          <w:i/>
          <w:iCs/>
          <w:u w:val="single"/>
          <w:vertAlign w:val="subscript"/>
        </w:rPr>
        <w:t>2</w:t>
      </w:r>
      <w:r>
        <w:rPr>
          <w:i/>
          <w:iCs/>
          <w:u w:val="single"/>
        </w:rPr>
        <w:t xml:space="preserve"> measurement uncertainty</w:t>
      </w:r>
      <w:r w:rsidRPr="00BB2197">
        <w:rPr>
          <w:b/>
          <w:bCs/>
          <w:u w:val="single"/>
        </w:rPr>
        <w:t xml:space="preserve"> </w:t>
      </w:r>
    </w:p>
    <w:p w:rsidR="00AB4C9C" w:rsidRDefault="00AB4C9C" w:rsidP="00AB4C9C">
      <w:r>
        <w:tab/>
        <w:t>As mentioned above, TCO</w:t>
      </w:r>
      <w:r w:rsidRPr="009373E7">
        <w:rPr>
          <w:vertAlign w:val="subscript"/>
        </w:rPr>
        <w:t>2</w:t>
      </w:r>
      <w:r>
        <w:t xml:space="preserve"> measurements were corrected using results from reference material analyses done in triplicate at the start and end of a series of seawater sample analyses consisting of approximately 20 samples</w:t>
      </w:r>
      <w:r>
        <w:fldChar w:fldCharType="begin"/>
      </w:r>
      <w:r w:rsidR="00F659DC">
        <w:instrText xml:space="preserve"> ADDIN EN.CITE &lt;EndNote&gt;&lt;Cite&gt;&lt;Author&gt;Campbell&lt;/Author&gt;&lt;Year&gt;2023&lt;/Year&gt;&lt;RecNum&gt;1508&lt;/RecNum&gt;&lt;DisplayText&gt;&lt;style face="superscript"&gt;1&lt;/style&gt;&lt;/DisplayText&gt;&lt;record&gt;&lt;rec-number&gt;1508&lt;/rec-number&gt;&lt;foreign-keys&gt;&lt;key app="EN" db-id="w950ea2scwf59ee9928pe0ag9xtwvetfftpd" timestamp="1707327606"&gt;1508&lt;/key&gt;&lt;/foreign-keys&gt;&lt;ref-type name="Journal Article"&gt;17&lt;/ref-type&gt;&lt;contributors&gt;&lt;authors&gt;&lt;author&gt;Campbell, K.&lt;/author&gt;&lt;author&gt;Weekes, C.&lt;/author&gt;&lt;author&gt;Evans, W.&lt;/author&gt;&lt;author&gt;Gimenez, Iria&lt;/author&gt;&lt;author&gt;Hales, B&lt;/author&gt;&lt;/authors&gt;&lt;/contributors&gt;&lt;titles&gt;&lt;title&gt;&lt;style face="normal" font="default" size="100%"&gt;Hakai Institute’s Burke-o-Lator TCO&lt;/style&gt;&lt;style face="subscript" font="default" size="100%"&gt;2&lt;/style&gt;&lt;style face="normal" font="default" size="100%"&gt;/pCO&lt;/style&gt;&lt;style face="subscript" font="default" size="100%"&gt;2&lt;/style&gt;&lt;style face="normal" font="default" size="100%"&gt; Analyzer Discrete Sample Analysis Protocols (v2.0)&lt;/style&gt;&lt;/title&gt;&lt;/titles&gt;&lt;dates&gt;&lt;year&gt;2023&lt;/year&gt;&lt;/dates&gt;&lt;urls&gt;&lt;/urls&gt;&lt;electronic-resource-num&gt;10.21966/1.521066&lt;/electronic-resource-num&gt;&lt;/record&gt;&lt;/Cite&gt;&lt;/EndNote&gt;</w:instrText>
      </w:r>
      <w:r>
        <w:fldChar w:fldCharType="separate"/>
      </w:r>
      <w:r w:rsidR="00F659DC" w:rsidRPr="00F659DC">
        <w:rPr>
          <w:noProof/>
          <w:vertAlign w:val="superscript"/>
        </w:rPr>
        <w:t>1</w:t>
      </w:r>
      <w:r>
        <w:fldChar w:fldCharType="end"/>
      </w:r>
      <w:r>
        <w:t>. Correction factors were applied to each seawater measurement by first dividing the reported TCO</w:t>
      </w:r>
      <w:r w:rsidRPr="009373E7">
        <w:rPr>
          <w:vertAlign w:val="subscript"/>
        </w:rPr>
        <w:t>2</w:t>
      </w:r>
      <w:r>
        <w:t xml:space="preserve"> content of the reference material by the average from each triplicate analysis of certified reference material that bracketed the seawater sample analyses and then interpolating those values to the seawater measurement time points. Reference materials used were either certified reference material (CRM) from Andrew Dickson (UCSD) or internal reference material (IRM) consisting of mixtures of sodium carbonate and sodium bicarbonate in deionized water that had been analyzed alongside CRMs to determine their TCO</w:t>
      </w:r>
      <w:r w:rsidRPr="009373E7">
        <w:rPr>
          <w:vertAlign w:val="subscript"/>
        </w:rPr>
        <w:t>2</w:t>
      </w:r>
      <w:r>
        <w:t xml:space="preserve"> content. The standard deviation of each triplicate analysis series of reference materials provided a metric for the analytical uncertainty of the TCO</w:t>
      </w:r>
      <w:r w:rsidRPr="009373E7">
        <w:rPr>
          <w:vertAlign w:val="subscript"/>
        </w:rPr>
        <w:t>2</w:t>
      </w:r>
      <w:r>
        <w:t xml:space="preserve"> measurement. The median standard deviation of 582 triplicate analyses of CRMs was 6.2 µmol/kg with a median-centered coefficient of variation (CV) of 0.3%. This is identical to the relative uncertainty for TCO</w:t>
      </w:r>
      <w:r w:rsidRPr="00DA052B">
        <w:rPr>
          <w:vertAlign w:val="subscript"/>
        </w:rPr>
        <w:t>2</w:t>
      </w:r>
      <w:r>
        <w:t xml:space="preserve"> measurements reported by Evans et al</w:t>
      </w:r>
      <w:r w:rsidR="00F659DC">
        <w:fldChar w:fldCharType="begin"/>
      </w:r>
      <w:r w:rsidR="00F659DC">
        <w:instrText xml:space="preserve"> ADDIN EN.CITE &lt;EndNote&gt;&lt;Cite&gt;&lt;Author&gt;Evans&lt;/Author&gt;&lt;Year&gt;2019&lt;/Year&gt;&lt;RecNum&gt;782&lt;/RecNum&gt;&lt;DisplayText&gt;&lt;style face="superscript"&gt;2&lt;/style&gt;&lt;/DisplayText&gt;&lt;record&gt;&lt;rec-number&gt;782&lt;/rec-number&gt;&lt;foreign-keys&gt;&lt;key app="EN" db-id="w950ea2scwf59ee9928pe0ag9xtwvetfftpd" timestamp="1523459775"&gt;782&lt;/key&gt;&lt;/foreign-keys&gt;&lt;ref-type name="Journal Article"&gt;17&lt;/ref-type&gt;&lt;contributors&gt;&lt;authors&gt;&lt;author&gt;Evans, W.&lt;/author&gt;&lt;author&gt;Pocock, K.&lt;/author&gt;&lt;author&gt;Hare, A.&lt;/author&gt;&lt;author&gt;Weekes, C.&lt;/author&gt;&lt;author&gt;Hales, B.&lt;/author&gt;&lt;author&gt;Jackson, J.&lt;/author&gt;&lt;author&gt;Gurney-Smith, H.&lt;/author&gt;&lt;author&gt;Mathis, J. T.&lt;/author&gt;&lt;author&gt;Alin, S. R.&lt;/author&gt;&lt;author&gt;Feely, R. A.&lt;/author&gt;&lt;/authors&gt;&lt;/contributors&gt;&lt;titles&gt;&lt;title&gt;&lt;style face="normal" font="default" size="100%"&gt;Marine CO&lt;/style&gt;&lt;style face="subscript" font="default" size="100%"&gt;2&lt;/style&gt;&lt;style face="normal" font="default" size="100%"&gt; Patterns in the Northern Salish Sea&lt;/style&gt;&lt;/title&gt;&lt;secondary-title&gt;Frontiers in Marine Science&lt;/secondary-title&gt;&lt;/titles&gt;&lt;periodical&gt;&lt;full-title&gt;Frontiers in Marine Science&lt;/full-title&gt;&lt;/periodical&gt;&lt;volume&gt;5&lt;/volume&gt;&lt;dates&gt;&lt;year&gt;2019&lt;/year&gt;&lt;/dates&gt;&lt;urls&gt;&lt;/urls&gt;&lt;electronic-resource-num&gt;10.3389/fmars.2018.00536&lt;/electronic-resource-num&gt;&lt;/record&gt;&lt;/Cite&gt;&lt;/EndNote&gt;</w:instrText>
      </w:r>
      <w:r w:rsidR="00F659DC">
        <w:fldChar w:fldCharType="separate"/>
      </w:r>
      <w:r w:rsidR="00F659DC" w:rsidRPr="00F659DC">
        <w:rPr>
          <w:noProof/>
          <w:vertAlign w:val="superscript"/>
        </w:rPr>
        <w:t>2</w:t>
      </w:r>
      <w:r w:rsidR="00F659DC">
        <w:fldChar w:fldCharType="end"/>
      </w:r>
      <w:r>
        <w:t>. The median standard deviation of 294 triplicate analyses of IRMs was 3.3 µmol/kg with a median-centered CV of 0.2%. Combining the median-centered CVs from CRM and IRM analyses in quadrature results in a value of 0.36%, which we take to be the relative uncertainty for our TCO</w:t>
      </w:r>
      <w:r w:rsidRPr="00156DEF">
        <w:rPr>
          <w:vertAlign w:val="subscript"/>
        </w:rPr>
        <w:t>2</w:t>
      </w:r>
      <w:r>
        <w:t xml:space="preserve"> analyses (</w:t>
      </w:r>
      <w:r w:rsidRPr="00DA052B">
        <w:rPr>
          <w:i/>
          <w:iCs/>
        </w:rPr>
        <w:t>i.e.</w:t>
      </w:r>
      <w:r>
        <w:t>, the analytical uncertainty).</w:t>
      </w:r>
    </w:p>
    <w:p w:rsidR="00AB4C9C" w:rsidRDefault="00AB4C9C" w:rsidP="00AB4C9C">
      <w:r>
        <w:tab/>
        <w:t>We currently lack reference materials for seawater pCO</w:t>
      </w:r>
      <w:r w:rsidRPr="00EE604A">
        <w:rPr>
          <w:vertAlign w:val="subscript"/>
        </w:rPr>
        <w:t>2</w:t>
      </w:r>
      <w:r>
        <w:t xml:space="preserve"> analysis. The uncertainty of pCO</w:t>
      </w:r>
      <w:r w:rsidRPr="00EE604A">
        <w:rPr>
          <w:vertAlign w:val="subscript"/>
        </w:rPr>
        <w:t>2</w:t>
      </w:r>
      <w:r>
        <w:t xml:space="preserve"> analyses was previously evaluated by analyzing CRMs for both TCO</w:t>
      </w:r>
      <w:r w:rsidRPr="00EE604A">
        <w:rPr>
          <w:vertAlign w:val="subscript"/>
        </w:rPr>
        <w:t>2</w:t>
      </w:r>
      <w:r>
        <w:t xml:space="preserve"> and pCO</w:t>
      </w:r>
      <w:r w:rsidRPr="00EE604A">
        <w:rPr>
          <w:vertAlign w:val="subscript"/>
        </w:rPr>
        <w:t>2</w:t>
      </w:r>
      <w:r>
        <w:t>, then deriving alkalinity, and finally comparing those derived values to the certified CRM values</w:t>
      </w:r>
      <w:r>
        <w:fldChar w:fldCharType="begin"/>
      </w:r>
      <w:r w:rsidR="00F659DC">
        <w:instrText xml:space="preserve"> ADDIN EN.CITE &lt;EndNote&gt;&lt;Cite&gt;&lt;Author&gt;Evans&lt;/Author&gt;&lt;Year&gt;2019&lt;/Year&gt;&lt;RecNum&gt;782&lt;/RecNum&gt;&lt;DisplayText&gt;&lt;style face="superscript"&gt;2&lt;/style&gt;&lt;/DisplayText&gt;&lt;record&gt;&lt;rec-number&gt;782&lt;/rec-number&gt;&lt;foreign-keys&gt;&lt;key app="EN" db-id="w950ea2scwf59ee9928pe0ag9xtwvetfftpd" timestamp="1523459775"&gt;782&lt;/key&gt;&lt;/foreign-keys&gt;&lt;ref-type name="Journal Article"&gt;17&lt;/ref-type&gt;&lt;contributors&gt;&lt;authors&gt;&lt;author&gt;Evans, W.&lt;/author&gt;&lt;author&gt;Pocock, K.&lt;/author&gt;&lt;author&gt;Hare, A.&lt;/author&gt;&lt;author&gt;Weekes, C.&lt;/author&gt;&lt;author&gt;Hales, B.&lt;/author&gt;&lt;author&gt;Jackson, J.&lt;/author&gt;&lt;author&gt;Gurney-Smith, H.&lt;/author&gt;&lt;author&gt;Mathis, J. T.&lt;/author&gt;&lt;author&gt;Alin, S. R.&lt;/author&gt;&lt;author&gt;Feely, R. A.&lt;/author&gt;&lt;/authors&gt;&lt;/contributors&gt;&lt;titles&gt;&lt;title&gt;&lt;style face="normal" font="default" size="100%"&gt;Marine CO&lt;/style&gt;&lt;style face="subscript" font="default" size="100%"&gt;2&lt;/style&gt;&lt;style face="normal" font="default" size="100%"&gt; Patterns in the Northern Salish Sea&lt;/style&gt;&lt;/title&gt;&lt;secondary-title&gt;Frontiers in Marine Science&lt;/secondary-title&gt;&lt;/titles&gt;&lt;periodical&gt;&lt;full-title&gt;Frontiers in Marine Science&lt;/full-title&gt;&lt;/periodical&gt;&lt;volume&gt;5&lt;/volume&gt;&lt;dates&gt;&lt;year&gt;2019&lt;/year&gt;&lt;/dates&gt;&lt;urls&gt;&lt;/urls&gt;&lt;electronic-resource-num&gt;10.3389/fmars.2018.00536&lt;/electronic-resource-num&gt;&lt;/record&gt;&lt;/Cite&gt;&lt;/EndNote&gt;</w:instrText>
      </w:r>
      <w:r>
        <w:fldChar w:fldCharType="separate"/>
      </w:r>
      <w:r w:rsidR="00F659DC" w:rsidRPr="00F659DC">
        <w:rPr>
          <w:noProof/>
          <w:vertAlign w:val="superscript"/>
        </w:rPr>
        <w:t>2</w:t>
      </w:r>
      <w:r>
        <w:fldChar w:fldCharType="end"/>
      </w:r>
      <w:r>
        <w:t>. The difference between derived and certified alkalinity was typically within 1.5% and taken to be the relative uncertainty in the measurement. However, this value includes uncertainties in both of the TCO</w:t>
      </w:r>
      <w:r w:rsidRPr="00EE604A">
        <w:rPr>
          <w:vertAlign w:val="subscript"/>
        </w:rPr>
        <w:t>2</w:t>
      </w:r>
      <w:r>
        <w:t xml:space="preserve"> and pCO</w:t>
      </w:r>
      <w:r w:rsidRPr="00EE604A">
        <w:rPr>
          <w:vertAlign w:val="subscript"/>
        </w:rPr>
        <w:t>2</w:t>
      </w:r>
      <w:r>
        <w:t xml:space="preserve"> measurements and the CO</w:t>
      </w:r>
      <w:r w:rsidRPr="00EE604A">
        <w:rPr>
          <w:vertAlign w:val="subscript"/>
        </w:rPr>
        <w:t>2</w:t>
      </w:r>
      <w:r>
        <w:t xml:space="preserve"> equilibrium constants. Additionally, the TCO</w:t>
      </w:r>
      <w:r w:rsidRPr="00E91ECA">
        <w:rPr>
          <w:vertAlign w:val="subscript"/>
        </w:rPr>
        <w:t>2</w:t>
      </w:r>
      <w:r>
        <w:t xml:space="preserve"> analytical uncertainty reported above does not include uncertainty that can occur during sample collection. We therefor incorporate results from 198 triplicate sets of seawater samples collected randomly across sampling depths at oceanographic station QU39 to provide an additional assessment of TCO</w:t>
      </w:r>
      <w:r w:rsidRPr="00853BCE">
        <w:rPr>
          <w:vertAlign w:val="subscript"/>
        </w:rPr>
        <w:t>2</w:t>
      </w:r>
      <w:r>
        <w:t xml:space="preserve"> measurement uncertainty and a more robust estimate of pCO</w:t>
      </w:r>
      <w:r w:rsidRPr="00156DEF">
        <w:rPr>
          <w:vertAlign w:val="subscript"/>
        </w:rPr>
        <w:t>2</w:t>
      </w:r>
      <w:r>
        <w:t xml:space="preserve"> measurement uncertainty. Figure </w:t>
      </w:r>
      <w:r w:rsidR="00DC336F">
        <w:t>2</w:t>
      </w:r>
      <w:r>
        <w:t xml:space="preserve"> shows CV values from the 198 triplicate sets of seawater samples with the median value for each record taken as a measure of the combined uncertainty from sampling and analysis. This value for pCO</w:t>
      </w:r>
      <w:r w:rsidRPr="00FD1A08">
        <w:rPr>
          <w:vertAlign w:val="subscript"/>
        </w:rPr>
        <w:t>2</w:t>
      </w:r>
      <w:r>
        <w:t xml:space="preserve"> was 1.2%, slightly lower than from the value reported previously</w:t>
      </w:r>
      <w:r>
        <w:fldChar w:fldCharType="begin"/>
      </w:r>
      <w:r w:rsidR="00F659DC">
        <w:instrText xml:space="preserve"> ADDIN EN.CITE &lt;EndNote&gt;&lt;Cite&gt;&lt;Author&gt;Evans&lt;/Author&gt;&lt;Year&gt;2019&lt;/Year&gt;&lt;RecNum&gt;782&lt;/RecNum&gt;&lt;DisplayText&gt;&lt;style face="superscript"&gt;2&lt;/style&gt;&lt;/DisplayText&gt;&lt;record&gt;&lt;rec-number&gt;782&lt;/rec-number&gt;&lt;foreign-keys&gt;&lt;key app="EN" db-id="w950ea2scwf59ee9928pe0ag9xtwvetfftpd" timestamp="1523459775"&gt;782&lt;/key&gt;&lt;/foreign-keys&gt;&lt;ref-type name="Journal Article"&gt;17&lt;/ref-type&gt;&lt;contributors&gt;&lt;authors&gt;&lt;author&gt;Evans, W.&lt;/author&gt;&lt;author&gt;Pocock, K.&lt;/author&gt;&lt;author&gt;Hare, A.&lt;/author&gt;&lt;author&gt;Weekes, C.&lt;/author&gt;&lt;author&gt;Hales, B.&lt;/author&gt;&lt;author&gt;Jackson, J.&lt;/author&gt;&lt;author&gt;Gurney-Smith, H.&lt;/author&gt;&lt;author&gt;Mathis, J. T.&lt;/author&gt;&lt;author&gt;Alin, S. R.&lt;/author&gt;&lt;author&gt;Feely, R. A.&lt;/author&gt;&lt;/authors&gt;&lt;/contributors&gt;&lt;titles&gt;&lt;title&gt;&lt;style face="normal" font="default" size="100%"&gt;Marine CO&lt;/style&gt;&lt;style face="subscript" font="default" size="100%"&gt;2&lt;/style&gt;&lt;style face="normal" font="default" size="100%"&gt; Patterns in the Northern Salish Sea&lt;/style&gt;&lt;/title&gt;&lt;secondary-title&gt;Frontiers in Marine Science&lt;/secondary-title&gt;&lt;/titles&gt;&lt;periodical&gt;&lt;full-title&gt;Frontiers in Marine Science&lt;/full-title&gt;&lt;/periodical&gt;&lt;volume&gt;5&lt;/volume&gt;&lt;dates&gt;&lt;year&gt;2019&lt;/year&gt;&lt;/dates&gt;&lt;urls&gt;&lt;/urls&gt;&lt;electronic-resource-num&gt;10.3389/fmars.2018.00536&lt;/electronic-resource-num&gt;&lt;/record&gt;&lt;/Cite&gt;&lt;/EndNote&gt;</w:instrText>
      </w:r>
      <w:r>
        <w:fldChar w:fldCharType="separate"/>
      </w:r>
      <w:r w:rsidR="00F659DC" w:rsidRPr="00F659DC">
        <w:rPr>
          <w:noProof/>
          <w:vertAlign w:val="superscript"/>
        </w:rPr>
        <w:t>2</w:t>
      </w:r>
      <w:r>
        <w:fldChar w:fldCharType="end"/>
      </w:r>
      <w:r>
        <w:t>. The value for TCO</w:t>
      </w:r>
      <w:r w:rsidRPr="00FD1A08">
        <w:rPr>
          <w:vertAlign w:val="subscript"/>
        </w:rPr>
        <w:t>2</w:t>
      </w:r>
      <w:r>
        <w:t xml:space="preserve"> was 0.21% and was slightly lower than the assessment from reference material triplicates above. In order to produce a more conservative estimate of TCO</w:t>
      </w:r>
      <w:r w:rsidRPr="00DA052B">
        <w:rPr>
          <w:vertAlign w:val="subscript"/>
        </w:rPr>
        <w:t>2</w:t>
      </w:r>
      <w:r>
        <w:t xml:space="preserve"> measurement uncertainty, we combined this value with the median CV from the triplicate reference material assessment in quadrature to produce a measure of total (</w:t>
      </w:r>
      <w:r w:rsidRPr="005238C8">
        <w:rPr>
          <w:i/>
          <w:iCs/>
        </w:rPr>
        <w:t>i.e.</w:t>
      </w:r>
      <w:r>
        <w:t>, analytical plus sampling) relative uncertainty; this value was estimated to be 0.42% for our discrete seawater TCO</w:t>
      </w:r>
      <w:r w:rsidRPr="00FD1A08">
        <w:rPr>
          <w:vertAlign w:val="subscript"/>
        </w:rPr>
        <w:t>2</w:t>
      </w:r>
      <w:r>
        <w:t xml:space="preserve"> measurements and deemed to be “weather quality”</w:t>
      </w:r>
      <w:r>
        <w:fldChar w:fldCharType="begin"/>
      </w:r>
      <w:r w:rsidR="00F659DC">
        <w:instrText xml:space="preserve"> ADDIN EN.CITE &lt;EndNote&gt;&lt;Cite&gt;&lt;Author&gt;Newton&lt;/Author&gt;&lt;Year&gt;2015&lt;/Year&gt;&lt;RecNum&gt;704&lt;/RecNum&gt;&lt;DisplayText&gt;&lt;style face="superscript"&gt;4&lt;/style&gt;&lt;/DisplayText&gt;&lt;record&gt;&lt;rec-number&gt;704&lt;/rec-number&gt;&lt;foreign-keys&gt;&lt;key app="EN" db-id="w950ea2scwf59ee9928pe0ag9xtwvetfftpd" timestamp="1474314660"&gt;704&lt;/key&gt;&lt;/foreign-keys&gt;&lt;ref-type name="Journal Article"&gt;17&lt;/ref-type&gt;&lt;contributors&gt;&lt;authors&gt;&lt;author&gt;Newton, J. A.&lt;/author&gt;&lt;author&gt;Feely, R. A.&lt;/author&gt;&lt;author&gt;Jewett, Elizabeth B.&lt;/author&gt;&lt;author&gt;Williamson, P.&lt;/author&gt;&lt;author&gt;Mathis, J.&lt;/author&gt;&lt;/authors&gt;&lt;/contributors&gt;&lt;titles&gt;&lt;title&gt;Global Ocean Acidification Observing Network: Requirements and Governance Plan &lt;/title&gt;&lt;secondary-title&gt;http://goa-on.org/docs/GOA-ON_2nd_edition_final.pdf&lt;/secondary-title&gt;&lt;/titles&gt;&lt;periodical&gt;&lt;full-title&gt;http://goa-on.org/docs/GOA-ON_2nd_edition_final.pdf&lt;/full-title&gt;&lt;/periodical&gt;&lt;pages&gt;60&lt;/pages&gt;&lt;dates&gt;&lt;year&gt;2015&lt;/year&gt;&lt;/dates&gt;&lt;urls&gt;&lt;related-urls&gt;&lt;url&gt;http://www.goa-on.org/docs/GOA-ON_plan_print.pdf&lt;/url&gt;&lt;/related-urls&gt;&lt;/urls&gt;&lt;/record&gt;&lt;/Cite&gt;&lt;/EndNote&gt;</w:instrText>
      </w:r>
      <w:r>
        <w:fldChar w:fldCharType="separate"/>
      </w:r>
      <w:r w:rsidR="00F659DC" w:rsidRPr="00F659DC">
        <w:rPr>
          <w:noProof/>
          <w:vertAlign w:val="superscript"/>
        </w:rPr>
        <w:t>4</w:t>
      </w:r>
      <w:r>
        <w:fldChar w:fldCharType="end"/>
      </w:r>
      <w:r>
        <w:t xml:space="preserve">.   </w:t>
      </w:r>
    </w:p>
    <w:p w:rsidR="00AB4C9C" w:rsidRDefault="00AB4C9C" w:rsidP="00AB4C9C">
      <w:pPr>
        <w:jc w:val="center"/>
      </w:pPr>
      <w:r>
        <w:rPr>
          <w:noProof/>
          <w14:ligatures w14:val="standardContextual"/>
        </w:rPr>
        <w:lastRenderedPageBreak/>
        <w:drawing>
          <wp:inline distT="0" distB="0" distL="0" distR="0" wp14:anchorId="3143AE46" wp14:editId="0C818C5F">
            <wp:extent cx="4254759" cy="5184351"/>
            <wp:effectExtent l="0" t="0" r="0" b="0"/>
            <wp:docPr id="177996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960617" name="Picture 177996061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9882" cy="5202778"/>
                    </a:xfrm>
                    <a:prstGeom prst="rect">
                      <a:avLst/>
                    </a:prstGeom>
                  </pic:spPr>
                </pic:pic>
              </a:graphicData>
            </a:graphic>
          </wp:inline>
        </w:drawing>
      </w:r>
    </w:p>
    <w:p w:rsidR="00AB4C9C" w:rsidRDefault="00AB4C9C" w:rsidP="00AB4C9C">
      <w:pPr>
        <w:spacing w:after="200"/>
        <w:rPr>
          <w:i/>
          <w:iCs/>
          <w:u w:val="single"/>
        </w:rPr>
      </w:pPr>
      <w:r>
        <w:rPr>
          <w:b/>
          <w:bCs/>
        </w:rPr>
        <w:t>Figure</w:t>
      </w:r>
      <w:r w:rsidRPr="009264BE">
        <w:rPr>
          <w:b/>
          <w:bCs/>
        </w:rPr>
        <w:t xml:space="preserve"> </w:t>
      </w:r>
      <w:r w:rsidR="000C6713">
        <w:rPr>
          <w:b/>
          <w:bCs/>
        </w:rPr>
        <w:t>2</w:t>
      </w:r>
      <w:r w:rsidRPr="009264BE">
        <w:rPr>
          <w:b/>
          <w:bCs/>
        </w:rPr>
        <w:t>:</w:t>
      </w:r>
      <w:r>
        <w:t xml:space="preserve"> Median-centered coefficient of variation (CV) values from 198 triplicate sets of seawater TCO</w:t>
      </w:r>
      <w:r w:rsidRPr="008B7879">
        <w:rPr>
          <w:vertAlign w:val="subscript"/>
        </w:rPr>
        <w:t>2</w:t>
      </w:r>
      <w:r>
        <w:t xml:space="preserve"> (top) and pCO</w:t>
      </w:r>
      <w:r w:rsidRPr="008B7879">
        <w:rPr>
          <w:vertAlign w:val="subscript"/>
        </w:rPr>
        <w:t>2</w:t>
      </w:r>
      <w:r>
        <w:t xml:space="preserve"> (bottom) measurements. Left panel shows CV values versus sampling depth with the red horizontal line representing the median CV value in the record. The right panel shows the frequency distribution of CV values. The median CV value for each record is taken as a measure of uncertainty (0.21% for TCO</w:t>
      </w:r>
      <w:r w:rsidRPr="008B7879">
        <w:rPr>
          <w:vertAlign w:val="subscript"/>
        </w:rPr>
        <w:t>2</w:t>
      </w:r>
      <w:r>
        <w:t>; 1.2% for pCO</w:t>
      </w:r>
      <w:r w:rsidRPr="008B7879">
        <w:rPr>
          <w:vertAlign w:val="subscript"/>
        </w:rPr>
        <w:t>2</w:t>
      </w:r>
      <w:r>
        <w:t xml:space="preserve">). </w:t>
      </w:r>
    </w:p>
    <w:p w:rsidR="00AB4C9C" w:rsidRPr="00BB2197" w:rsidRDefault="00AB4C9C" w:rsidP="00AB4C9C">
      <w:pPr>
        <w:rPr>
          <w:b/>
          <w:bCs/>
          <w:u w:val="single"/>
        </w:rPr>
      </w:pPr>
      <w:r>
        <w:rPr>
          <w:i/>
          <w:iCs/>
          <w:u w:val="single"/>
        </w:rPr>
        <w:t>Derived marine CO</w:t>
      </w:r>
      <w:r w:rsidRPr="00853BCE">
        <w:rPr>
          <w:i/>
          <w:iCs/>
          <w:u w:val="single"/>
          <w:vertAlign w:val="subscript"/>
        </w:rPr>
        <w:t>2</w:t>
      </w:r>
      <w:r>
        <w:rPr>
          <w:i/>
          <w:iCs/>
          <w:u w:val="single"/>
        </w:rPr>
        <w:t xml:space="preserve"> parameter uncertainty</w:t>
      </w:r>
      <w:r w:rsidRPr="00BB2197">
        <w:rPr>
          <w:b/>
          <w:bCs/>
          <w:u w:val="single"/>
        </w:rPr>
        <w:t xml:space="preserve"> </w:t>
      </w:r>
    </w:p>
    <w:p w:rsidR="00AB4C9C" w:rsidRDefault="00AB4C9C" w:rsidP="00AB4C9C">
      <w:pPr>
        <w:spacing w:after="200"/>
      </w:pPr>
      <w:r>
        <w:tab/>
        <w:t xml:space="preserve">The conversion to </w:t>
      </w:r>
      <w:r>
        <w:rPr>
          <w:i/>
          <w:iCs/>
        </w:rPr>
        <w:t xml:space="preserve">in situ </w:t>
      </w:r>
      <w:r>
        <w:t>pCO</w:t>
      </w:r>
      <w:r w:rsidRPr="00BB2197">
        <w:rPr>
          <w:vertAlign w:val="subscript"/>
        </w:rPr>
        <w:t>2</w:t>
      </w:r>
      <w:r>
        <w:t xml:space="preserve"> conditions (</w:t>
      </w:r>
      <w:r w:rsidRPr="00BB2197">
        <w:rPr>
          <w:i/>
          <w:iCs/>
        </w:rPr>
        <w:t>i.e.</w:t>
      </w:r>
      <w:r>
        <w:t>, at the temperature and pressure the sample was collected) and the calculation of the remaining marine CO</w:t>
      </w:r>
      <w:r w:rsidRPr="00BB2197">
        <w:rPr>
          <w:vertAlign w:val="subscript"/>
        </w:rPr>
        <w:t>2</w:t>
      </w:r>
      <w:r>
        <w:t xml:space="preserve"> system parameters, </w:t>
      </w:r>
      <w:r w:rsidRPr="005238C8">
        <w:rPr>
          <w:i/>
          <w:iCs/>
        </w:rPr>
        <w:t>e.g.</w:t>
      </w:r>
      <w:r>
        <w:t>, alkalinity, pH reported here on the total scale (</w:t>
      </w:r>
      <w:proofErr w:type="spellStart"/>
      <w:r>
        <w:t>pH</w:t>
      </w:r>
      <w:r w:rsidRPr="00054072">
        <w:rPr>
          <w:vertAlign w:val="subscript"/>
        </w:rPr>
        <w:t>T</w:t>
      </w:r>
      <w:proofErr w:type="spellEnd"/>
      <w:r>
        <w:t>), and aragonite and calcite saturation states, required a two-step process owing to the fact that the pCO</w:t>
      </w:r>
      <w:r w:rsidRPr="00BB2197">
        <w:rPr>
          <w:vertAlign w:val="subscript"/>
        </w:rPr>
        <w:t>2</w:t>
      </w:r>
      <w:r>
        <w:t xml:space="preserve"> measurement utilized equilibration with a headspace gas and this process slightly alters the TCO</w:t>
      </w:r>
      <w:r w:rsidRPr="00BB2197">
        <w:rPr>
          <w:vertAlign w:val="subscript"/>
        </w:rPr>
        <w:t>2</w:t>
      </w:r>
      <w:r>
        <w:t xml:space="preserve"> content of the sample. A headspace gas correction was applied to the TCO</w:t>
      </w:r>
      <w:r w:rsidRPr="00BB2197">
        <w:rPr>
          <w:vertAlign w:val="subscript"/>
        </w:rPr>
        <w:t>2</w:t>
      </w:r>
      <w:r>
        <w:t xml:space="preserve"> measurements</w:t>
      </w:r>
      <w:r>
        <w:fldChar w:fldCharType="begin"/>
      </w:r>
      <w:r w:rsidR="00F659DC">
        <w:instrText xml:space="preserve"> ADDIN EN.CITE &lt;EndNote&gt;&lt;Cite&gt;&lt;Author&gt;Wanninkhof&lt;/Author&gt;&lt;Year&gt;1993&lt;/Year&gt;&lt;RecNum&gt;737&lt;/RecNum&gt;&lt;DisplayText&gt;&lt;style face="superscript"&gt;5&lt;/style&gt;&lt;/DisplayText&gt;&lt;record&gt;&lt;rec-number&gt;737&lt;/rec-number&gt;&lt;foreign-keys&gt;&lt;key app="EN" db-id="w950ea2scwf59ee9928pe0ag9xtwvetfftpd" timestamp="1487095433"&gt;737&lt;/key&gt;&lt;/foreign-keys&gt;&lt;ref-type name="Journal Article"&gt;17&lt;/ref-type&gt;&lt;contributors&gt;&lt;authors&gt;&lt;author&gt;Wanninkhof, R.&lt;/author&gt;&lt;author&gt;Thoning, K.&lt;/author&gt;&lt;/authors&gt;&lt;/contributors&gt;&lt;titles&gt;&lt;title&gt;&lt;style face="normal" font="default" size="100%"&gt;Measurement of fugacity of CO&lt;/style&gt;&lt;style face="subscript" font="default" size="100%"&gt;2&lt;/style&gt;&lt;style face="normal" font="default" size="100%"&gt; in surface water using continuous and discrete sampling methods&lt;/style&gt;&lt;/title&gt;&lt;secondary-title&gt;Marine Chemistry&lt;/secondary-title&gt;&lt;/titles&gt;&lt;periodical&gt;&lt;full-title&gt;Marine Chemistry&lt;/full-title&gt;&lt;/periodical&gt;&lt;pages&gt;189-204&lt;/pages&gt;&lt;volume&gt;44&lt;/volume&gt;&lt;dates&gt;&lt;year&gt;1993&lt;/year&gt;&lt;/dates&gt;&lt;urls&gt;&lt;/urls&gt;&lt;/record&gt;&lt;/Cite&gt;&lt;/EndNote&gt;</w:instrText>
      </w:r>
      <w:r>
        <w:fldChar w:fldCharType="separate"/>
      </w:r>
      <w:r w:rsidR="00F659DC" w:rsidRPr="00F659DC">
        <w:rPr>
          <w:noProof/>
          <w:vertAlign w:val="superscript"/>
        </w:rPr>
        <w:t>5</w:t>
      </w:r>
      <w:r>
        <w:fldChar w:fldCharType="end"/>
      </w:r>
      <w:r>
        <w:t>, which incorporated measurements of the headspace gas prior to equilibration (</w:t>
      </w:r>
      <w:r w:rsidRPr="006B13D3">
        <w:rPr>
          <w:i/>
          <w:iCs/>
        </w:rPr>
        <w:t>i.e.</w:t>
      </w:r>
      <w:r>
        <w:t>, an atmospheric pCO</w:t>
      </w:r>
      <w:r w:rsidRPr="00BB2197">
        <w:rPr>
          <w:vertAlign w:val="subscript"/>
        </w:rPr>
        <w:t>2</w:t>
      </w:r>
      <w:r>
        <w:t xml:space="preserve"> measurement</w:t>
      </w:r>
      <w:r w:rsidR="00C822DC">
        <w:t>, nominally near 400 µatm</w:t>
      </w:r>
      <w:r>
        <w:t>), the seawater volume of the sample</w:t>
      </w:r>
      <w:r w:rsidR="00C822DC">
        <w:t xml:space="preserve"> (325 ml)</w:t>
      </w:r>
      <w:r>
        <w:t>, and the headspace gas volume</w:t>
      </w:r>
      <w:r w:rsidR="00C822DC">
        <w:t xml:space="preserve"> (90 ml)</w:t>
      </w:r>
      <w:r>
        <w:t>. Headspace gas-adjusted TCO</w:t>
      </w:r>
      <w:r w:rsidRPr="00BB2197">
        <w:rPr>
          <w:vertAlign w:val="subscript"/>
        </w:rPr>
        <w:t>2</w:t>
      </w:r>
      <w:r>
        <w:t xml:space="preserve"> data were then used with the pCO</w:t>
      </w:r>
      <w:r w:rsidRPr="00BB2197">
        <w:rPr>
          <w:vertAlign w:val="subscript"/>
        </w:rPr>
        <w:t>2</w:t>
      </w:r>
      <w:r>
        <w:t xml:space="preserve"> measurements to derive the seawater alkalinity</w:t>
      </w:r>
      <w:r w:rsidR="004329AD">
        <w:t xml:space="preserve"> using the carbonic acid dissociation constants </w:t>
      </w:r>
      <w:r w:rsidR="004329AD">
        <w:lastRenderedPageBreak/>
        <w:t>from Waters et al</w:t>
      </w:r>
      <w:r w:rsidR="004329AD">
        <w:fldChar w:fldCharType="begin"/>
      </w:r>
      <w:r w:rsidR="004329AD">
        <w:instrText xml:space="preserve"> ADDIN EN.CITE &lt;EndNote&gt;&lt;Cite&gt;&lt;Author&gt;Waters&lt;/Author&gt;&lt;Year&gt;2014&lt;/Year&gt;&lt;RecNum&gt;882&lt;/RecNum&gt;&lt;DisplayText&gt;&lt;style face="superscript"&gt;6&lt;/style&gt;&lt;/DisplayText&gt;&lt;record&gt;&lt;rec-number&gt;882&lt;/rec-number&gt;&lt;foreign-keys&gt;&lt;key app="EN" db-id="w950ea2scwf59ee9928pe0ag9xtwvetfftpd" timestamp="1621971302"&gt;882&lt;/key&gt;&lt;/foreign-keys&gt;&lt;ref-type name="Journal Article"&gt;17&lt;/ref-type&gt;&lt;contributors&gt;&lt;authors&gt;&lt;author&gt;Waters, J.&lt;/author&gt;&lt;author&gt;Millero, F. J.&lt;/author&gt;&lt;author&gt;Woosley, R. J.&lt;/author&gt;&lt;/authors&gt;&lt;/contributors&gt;&lt;titles&gt;&lt;title&gt;Corrigendum to “The free proton concentration scale for seawater pH”, [MARCHE: 149(2013) 8-22]&lt;/title&gt;&lt;secondary-title&gt;Marine Chemistry&lt;/secondary-title&gt;&lt;/titles&gt;&lt;periodical&gt;&lt;full-title&gt;Marine Chemistry&lt;/full-title&gt;&lt;/periodical&gt;&lt;pages&gt;66-67&lt;/pages&gt;&lt;volume&gt;165&lt;/volume&gt;&lt;dates&gt;&lt;year&gt;2014&lt;/year&gt;&lt;/dates&gt;&lt;urls&gt;&lt;/urls&gt;&lt;/record&gt;&lt;/Cite&gt;&lt;/EndNote&gt;</w:instrText>
      </w:r>
      <w:r w:rsidR="004329AD">
        <w:fldChar w:fldCharType="separate"/>
      </w:r>
      <w:r w:rsidR="004329AD" w:rsidRPr="004329AD">
        <w:rPr>
          <w:noProof/>
          <w:vertAlign w:val="superscript"/>
        </w:rPr>
        <w:t>6</w:t>
      </w:r>
      <w:r w:rsidR="004329AD">
        <w:fldChar w:fldCharType="end"/>
      </w:r>
      <w:r w:rsidR="004329AD">
        <w:t>, the bisulfate dissociation constant from Dickson et al</w:t>
      </w:r>
      <w:r w:rsidR="004329AD">
        <w:fldChar w:fldCharType="begin"/>
      </w:r>
      <w:r w:rsidR="004329AD">
        <w:instrText xml:space="preserve"> ADDIN EN.CITE &lt;EndNote&gt;&lt;Cite&gt;&lt;Author&gt;Dickson&lt;/Author&gt;&lt;Year&gt;1990&lt;/Year&gt;&lt;RecNum&gt;861&lt;/RecNum&gt;&lt;DisplayText&gt;&lt;style face="superscript"&gt;7&lt;/style&gt;&lt;/DisplayText&gt;&lt;record&gt;&lt;rec-number&gt;861&lt;/rec-number&gt;&lt;foreign-keys&gt;&lt;key app="EN" db-id="w950ea2scwf59ee9928pe0ag9xtwvetfftpd" timestamp="1615388293"&gt;861&lt;/key&gt;&lt;/foreign-keys&gt;&lt;ref-type name="Journal Article"&gt;17&lt;/ref-type&gt;&lt;contributors&gt;&lt;authors&gt;&lt;author&gt;Dickson, Andrew&lt;/author&gt;&lt;author&gt;Wesolowski, D. J.&lt;/author&gt;&lt;author&gt;Palmer, D. A.&lt;/author&gt;&lt;author&gt;Mesmer. R. E.&lt;/author&gt;&lt;/authors&gt;&lt;/contributors&gt;&lt;titles&gt;&lt;title&gt;Dissociation constant of bisulfate ion in aqueous sodium chloride solutions at 250 ℃&lt;/title&gt;&lt;secondary-title&gt;Journal of Physical Chemistry &lt;/secondary-title&gt;&lt;/titles&gt;&lt;pages&gt;7978-7985&lt;/pages&gt;&lt;volume&gt;94&lt;/volume&gt;&lt;dates&gt;&lt;year&gt;1990&lt;/year&gt;&lt;/dates&gt;&lt;urls&gt;&lt;/urls&gt;&lt;electronic-resource-num&gt;doi: 10.1021/j100383a042&lt;/electronic-resource-num&gt;&lt;/record&gt;&lt;/Cite&gt;&lt;/EndNote&gt;</w:instrText>
      </w:r>
      <w:r w:rsidR="004329AD">
        <w:fldChar w:fldCharType="separate"/>
      </w:r>
      <w:r w:rsidR="004329AD" w:rsidRPr="004329AD">
        <w:rPr>
          <w:noProof/>
          <w:vertAlign w:val="superscript"/>
        </w:rPr>
        <w:t>7</w:t>
      </w:r>
      <w:r w:rsidR="004329AD">
        <w:fldChar w:fldCharType="end"/>
      </w:r>
      <w:r w:rsidR="004329AD">
        <w:t>, the fluoride and hydrogen association constants from Perez and Fraga</w:t>
      </w:r>
      <w:r w:rsidR="004329AD">
        <w:fldChar w:fldCharType="begin"/>
      </w:r>
      <w:r w:rsidR="004329AD">
        <w:instrText xml:space="preserve"> ADDIN EN.CITE &lt;EndNote&gt;&lt;Cite&gt;&lt;Author&gt;Perez&lt;/Author&gt;&lt;Year&gt;1987&lt;/Year&gt;&lt;RecNum&gt;884&lt;/RecNum&gt;&lt;DisplayText&gt;&lt;style face="superscript"&gt;8&lt;/style&gt;&lt;/DisplayText&gt;&lt;record&gt;&lt;rec-number&gt;884&lt;/rec-number&gt;&lt;foreign-keys&gt;&lt;key app="EN" db-id="w950ea2scwf59ee9928pe0ag9xtwvetfftpd" timestamp="1621972903"&gt;884&lt;/key&gt;&lt;/foreign-keys&gt;&lt;ref-type name="Journal Article"&gt;17&lt;/ref-type&gt;&lt;contributors&gt;&lt;authors&gt;&lt;author&gt;Perez, F. F.&lt;/author&gt;&lt;author&gt;Fraga, F.&lt;/author&gt;&lt;/authors&gt;&lt;/contributors&gt;&lt;titles&gt;&lt;title&gt;Association constant of fluoride and hydrogen ions in seawater &lt;/title&gt;&lt;secondary-title&gt;Marine Chemistry&lt;/secondary-title&gt;&lt;/titles&gt;&lt;periodical&gt;&lt;full-title&gt;Marine Chemistry&lt;/full-title&gt;&lt;/periodical&gt;&lt;pages&gt;161-168&lt;/pages&gt;&lt;volume&gt;21&lt;/volume&gt;&lt;dates&gt;&lt;year&gt;1987&lt;/year&gt;&lt;/dates&gt;&lt;urls&gt;&lt;/urls&gt;&lt;/record&gt;&lt;/Cite&gt;&lt;/EndNote&gt;</w:instrText>
      </w:r>
      <w:r w:rsidR="004329AD">
        <w:fldChar w:fldCharType="separate"/>
      </w:r>
      <w:r w:rsidR="004329AD" w:rsidRPr="004329AD">
        <w:rPr>
          <w:noProof/>
          <w:vertAlign w:val="superscript"/>
        </w:rPr>
        <w:t>8</w:t>
      </w:r>
      <w:r w:rsidR="004329AD">
        <w:fldChar w:fldCharType="end"/>
      </w:r>
      <w:r w:rsidR="004329AD">
        <w:t>, and the boron / chlorinity ratio from Uppström</w:t>
      </w:r>
      <w:r w:rsidR="004329AD">
        <w:fldChar w:fldCharType="begin"/>
      </w:r>
      <w:r w:rsidR="004329AD">
        <w:instrText xml:space="preserve"> ADDIN EN.CITE &lt;EndNote&gt;&lt;Cite&gt;&lt;Author&gt;Uppström&lt;/Author&gt;&lt;Year&gt;1974&lt;/Year&gt;&lt;RecNum&gt;862&lt;/RecNum&gt;&lt;DisplayText&gt;&lt;style face="superscript"&gt;9&lt;/style&gt;&lt;/DisplayText&gt;&lt;record&gt;&lt;rec-number&gt;862&lt;/rec-number&gt;&lt;foreign-keys&gt;&lt;key app="EN" db-id="w950ea2scwf59ee9928pe0ag9xtwvetfftpd" timestamp="1615389174"&gt;862&lt;/key&gt;&lt;/foreign-keys&gt;&lt;ref-type name="Journal Article"&gt;17&lt;/ref-type&gt;&lt;contributors&gt;&lt;authors&gt;&lt;author&gt;Uppström, L. R.&lt;/author&gt;&lt;/authors&gt;&lt;/contributors&gt;&lt;titles&gt;&lt;title&gt;The boron/chlorinity ratio of deep-sea water from the Pacific Ocean&lt;/title&gt;&lt;secondary-title&gt;Deep-Sea Research and Oceanographic Abstracts&lt;/secondary-title&gt;&lt;/titles&gt;&lt;periodical&gt;&lt;full-title&gt;Deep-Sea Research and Oceanographic Abstracts&lt;/full-title&gt;&lt;/periodical&gt;&lt;pages&gt;161-162&lt;/pages&gt;&lt;volume&gt;21&lt;/volume&gt;&lt;number&gt;2&lt;/number&gt;&lt;dates&gt;&lt;year&gt;1974&lt;/year&gt;&lt;/dates&gt;&lt;urls&gt;&lt;/urls&gt;&lt;electronic-resource-num&gt;doi: 10.1016/0011-7471(74)90074-6&lt;/electronic-resource-num&gt;&lt;/record&gt;&lt;/Cite&gt;&lt;/EndNote&gt;</w:instrText>
      </w:r>
      <w:r w:rsidR="004329AD">
        <w:fldChar w:fldCharType="separate"/>
      </w:r>
      <w:r w:rsidR="004329AD" w:rsidRPr="004329AD">
        <w:rPr>
          <w:noProof/>
          <w:vertAlign w:val="superscript"/>
        </w:rPr>
        <w:t>9</w:t>
      </w:r>
      <w:r w:rsidR="004329AD">
        <w:fldChar w:fldCharType="end"/>
      </w:r>
      <w:r>
        <w:t>. Alkalinity was considered here to consist of carbonate, bicarbonate, borate, hydroxide and hydrogen ions as determined using CO2SYS software (</w:t>
      </w:r>
      <w:proofErr w:type="spellStart"/>
      <w:r>
        <w:t>Matlab</w:t>
      </w:r>
      <w:proofErr w:type="spellEnd"/>
      <w:r>
        <w:t xml:space="preserve"> v3.0)</w:t>
      </w:r>
      <w:r>
        <w:fldChar w:fldCharType="begin"/>
      </w:r>
      <w:r w:rsidR="004329AD">
        <w:instrText xml:space="preserve"> ADDIN EN.CITE &lt;EndNote&gt;&lt;Cite&gt;&lt;Author&gt;Sharp&lt;/Author&gt;&lt;Year&gt;2021&lt;/Year&gt;&lt;RecNum&gt;892&lt;/RecNum&gt;&lt;DisplayText&gt;&lt;style face="superscript"&gt;10&lt;/style&gt;&lt;/DisplayText&gt;&lt;record&gt;&lt;rec-number&gt;892&lt;/rec-number&gt;&lt;foreign-keys&gt;&lt;key app="EN" db-id="w950ea2scwf59ee9928pe0ag9xtwvetfftpd" timestamp="1622495570"&gt;892&lt;/key&gt;&lt;/foreign-keys&gt;&lt;ref-type name="Journal Article"&gt;17&lt;/ref-type&gt;&lt;contributors&gt;&lt;authors&gt;&lt;author&gt;Sharp, J. D.&lt;/author&gt;&lt;author&gt;Pierrot, D.&lt;/author&gt;&lt;author&gt;Humphreys, M. P.&lt;/author&gt;&lt;author&gt;Epitalon, J.-M.&lt;/author&gt;&lt;author&gt;Orr, J. C.&lt;/author&gt;&lt;author&gt;Lewis, E. R.&lt;/author&gt;&lt;author&gt;Wallace, D. W. R.&lt;/author&gt;&lt;/authors&gt;&lt;/contributors&gt;&lt;titles&gt;&lt;title&gt;CO2SYSv3 for MATLAB (Version v3.2.0)&lt;/title&gt;&lt;secondary-title&gt;Zenodo&lt;/secondary-title&gt;&lt;/titles&gt;&lt;periodical&gt;&lt;full-title&gt;Zenodo&lt;/full-title&gt;&lt;/periodical&gt;&lt;pages&gt;http://doi.org/10.5281/zenodo.3950562&lt;/pages&gt;&lt;dates&gt;&lt;year&gt;2021&lt;/year&gt;&lt;/dates&gt;&lt;urls&gt;&lt;/urls&gt;&lt;/record&gt;&lt;/Cite&gt;&lt;/EndNote&gt;</w:instrText>
      </w:r>
      <w:r>
        <w:fldChar w:fldCharType="separate"/>
      </w:r>
      <w:r w:rsidR="004329AD" w:rsidRPr="004329AD">
        <w:rPr>
          <w:noProof/>
          <w:vertAlign w:val="superscript"/>
        </w:rPr>
        <w:t>10</w:t>
      </w:r>
      <w:r>
        <w:fldChar w:fldCharType="end"/>
      </w:r>
      <w:r>
        <w:t xml:space="preserve">. Uncertainty in all derived parameters was evaluated using the </w:t>
      </w:r>
      <w:proofErr w:type="spellStart"/>
      <w:r>
        <w:t>error.m</w:t>
      </w:r>
      <w:proofErr w:type="spellEnd"/>
      <w:r>
        <w:t xml:space="preserve"> routine</w:t>
      </w:r>
      <w:r w:rsidR="00F13FAA">
        <w:t xml:space="preserve"> from Orr et al</w:t>
      </w:r>
      <w:r>
        <w:fldChar w:fldCharType="begin"/>
      </w:r>
      <w:r w:rsidR="004329AD">
        <w:instrText xml:space="preserve"> ADDIN EN.CITE &lt;EndNote&gt;&lt;Cite&gt;&lt;Author&gt;Orr&lt;/Author&gt;&lt;Year&gt;2018&lt;/Year&gt;&lt;RecNum&gt;778&lt;/RecNum&gt;&lt;DisplayText&gt;&lt;style face="superscript"&gt;11&lt;/style&gt;&lt;/DisplayText&gt;&lt;record&gt;&lt;rec-number&gt;778&lt;/rec-number&gt;&lt;foreign-keys&gt;&lt;key app="EN" db-id="w950ea2scwf59ee9928pe0ag9xtwvetfftpd" timestamp="1521824335"&gt;778&lt;/key&gt;&lt;/foreign-keys&gt;&lt;ref-type name="Journal Article"&gt;17&lt;/ref-type&gt;&lt;contributors&gt;&lt;authors&gt;&lt;author&gt;Orr, J. C.&lt;/author&gt;&lt;author&gt;Epitalon, J.-M.&lt;/author&gt;&lt;author&gt;Dickson, Andrew G.&lt;/author&gt;&lt;author&gt;Gattuso, J.-P.&lt;/author&gt;&lt;/authors&gt;&lt;/contributors&gt;&lt;titles&gt;&lt;title&gt;Routine uncertainty propagation for the marine carbon dioxide system&lt;/title&gt;&lt;secondary-title&gt;Marine Chemistry&lt;/secondary-title&gt;&lt;/titles&gt;&lt;periodical&gt;&lt;full-title&gt;Marine Chemistry&lt;/full-title&gt;&lt;/periodical&gt;&lt;pages&gt;84-107&lt;/pages&gt;&lt;volume&gt;207&lt;/volume&gt;&lt;dates&gt;&lt;year&gt;2018&lt;/year&gt;&lt;/dates&gt;&lt;urls&gt;&lt;/urls&gt;&lt;electronic-resource-num&gt;10.1016/j.marchem.2018.10.006&lt;/electronic-resource-num&gt;&lt;/record&gt;&lt;/Cite&gt;&lt;/EndNote&gt;</w:instrText>
      </w:r>
      <w:r>
        <w:fldChar w:fldCharType="separate"/>
      </w:r>
      <w:r w:rsidR="004329AD" w:rsidRPr="004329AD">
        <w:rPr>
          <w:noProof/>
          <w:vertAlign w:val="superscript"/>
        </w:rPr>
        <w:t>11</w:t>
      </w:r>
      <w:r>
        <w:fldChar w:fldCharType="end"/>
      </w:r>
      <w:r>
        <w:t>. To estimate the uncertainty of derived alkalinity, uncertainties were propagated from the pCO</w:t>
      </w:r>
      <w:r w:rsidRPr="00BB2197">
        <w:rPr>
          <w:vertAlign w:val="subscript"/>
        </w:rPr>
        <w:t>2</w:t>
      </w:r>
      <w:r>
        <w:t xml:space="preserve"> measurement and the headspace gas-adjusted TCO</w:t>
      </w:r>
      <w:r w:rsidRPr="00BB2197">
        <w:rPr>
          <w:vertAlign w:val="subscript"/>
        </w:rPr>
        <w:t>2</w:t>
      </w:r>
      <w:r>
        <w:t>. Uncertainty in headspace gas</w:t>
      </w:r>
      <w:r w:rsidR="005A5D2A">
        <w:t>-</w:t>
      </w:r>
      <w:r>
        <w:t>adjusted TCO</w:t>
      </w:r>
      <w:r w:rsidRPr="00BB2197">
        <w:rPr>
          <w:vertAlign w:val="subscript"/>
        </w:rPr>
        <w:t>2</w:t>
      </w:r>
      <w:r>
        <w:t xml:space="preserve"> was taken to be equivalent to the TCO</w:t>
      </w:r>
      <w:r w:rsidRPr="00BB2197">
        <w:rPr>
          <w:vertAlign w:val="subscript"/>
        </w:rPr>
        <w:t>2</w:t>
      </w:r>
      <w:r>
        <w:t xml:space="preserve"> measurement uncertainty despite the headspace gas adjustment having uncertainty associated with primarily the atmospheric measurement (~2 µatm) and the headspace gas volume (~2%). Typical adjustments are on the order of 1 µmol/kg and the uncertainty amounted to roughly 2% of the adjustment, and therefor was considered negligible. Figure </w:t>
      </w:r>
      <w:r w:rsidR="005A5D2A">
        <w:t>3</w:t>
      </w:r>
      <w:r>
        <w:t xml:space="preserve"> shows the resulting uncertainty in derived alkalinity as a function of TCO</w:t>
      </w:r>
      <w:r w:rsidRPr="00BB2197">
        <w:rPr>
          <w:vertAlign w:val="subscript"/>
        </w:rPr>
        <w:t>2</w:t>
      </w:r>
      <w:r>
        <w:t>. We take the median value to represent our typical uncertainty for derived alkalinity, albeit note larger spread in the uncertainty in derived alkalinity at lower TCO</w:t>
      </w:r>
      <w:r w:rsidRPr="00BB2197">
        <w:rPr>
          <w:vertAlign w:val="subscript"/>
        </w:rPr>
        <w:t>2</w:t>
      </w:r>
      <w:r>
        <w:t xml:space="preserve"> content.</w:t>
      </w:r>
      <w:r>
        <w:rPr>
          <w:noProof/>
          <w14:ligatures w14:val="standardContextual"/>
        </w:rPr>
        <w:drawing>
          <wp:inline distT="0" distB="0" distL="0" distR="0" wp14:anchorId="60F2E34A" wp14:editId="6106725C">
            <wp:extent cx="5942270" cy="1524000"/>
            <wp:effectExtent l="0" t="0" r="1905" b="0"/>
            <wp:docPr id="13752813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81398" name="Picture 1375281398"/>
                    <pic:cNvPicPr/>
                  </pic:nvPicPr>
                  <pic:blipFill rotWithShape="1">
                    <a:blip r:embed="rId9" cstate="print">
                      <a:extLst>
                        <a:ext uri="{28A0092B-C50C-407E-A947-70E740481C1C}">
                          <a14:useLocalDpi xmlns:a14="http://schemas.microsoft.com/office/drawing/2010/main" val="0"/>
                        </a:ext>
                      </a:extLst>
                    </a:blip>
                    <a:srcRect t="32427" b="28905"/>
                    <a:stretch/>
                  </pic:blipFill>
                  <pic:spPr bwMode="auto">
                    <a:xfrm>
                      <a:off x="0" y="0"/>
                      <a:ext cx="5943600" cy="1524341"/>
                    </a:xfrm>
                    <a:prstGeom prst="rect">
                      <a:avLst/>
                    </a:prstGeom>
                    <a:ln>
                      <a:noFill/>
                    </a:ln>
                    <a:extLst>
                      <a:ext uri="{53640926-AAD7-44D8-BBD7-CCE9431645EC}">
                        <a14:shadowObscured xmlns:a14="http://schemas.microsoft.com/office/drawing/2010/main"/>
                      </a:ext>
                    </a:extLst>
                  </pic:spPr>
                </pic:pic>
              </a:graphicData>
            </a:graphic>
          </wp:inline>
        </w:drawing>
      </w:r>
    </w:p>
    <w:p w:rsidR="00AB4C9C" w:rsidRDefault="00AB4C9C" w:rsidP="00AB4C9C">
      <w:pPr>
        <w:spacing w:after="200"/>
      </w:pPr>
      <w:r>
        <w:rPr>
          <w:b/>
          <w:bCs/>
        </w:rPr>
        <w:t>Figure</w:t>
      </w:r>
      <w:r w:rsidRPr="009264BE">
        <w:rPr>
          <w:b/>
          <w:bCs/>
        </w:rPr>
        <w:t xml:space="preserve"> </w:t>
      </w:r>
      <w:r w:rsidR="000C6713">
        <w:rPr>
          <w:b/>
          <w:bCs/>
        </w:rPr>
        <w:t>3</w:t>
      </w:r>
      <w:r w:rsidRPr="009264BE">
        <w:rPr>
          <w:b/>
          <w:bCs/>
        </w:rPr>
        <w:t>:</w:t>
      </w:r>
      <w:r>
        <w:t xml:space="preserve"> Relative uncertainty in seawater alkalinity (%) as a function of TCO</w:t>
      </w:r>
      <w:r w:rsidRPr="00BB2197">
        <w:rPr>
          <w:vertAlign w:val="subscript"/>
        </w:rPr>
        <w:t>2</w:t>
      </w:r>
      <w:r>
        <w:t xml:space="preserve"> content (µmol/kg) with color as the derived alkalinity content. The typical uncertainty of derived alkalinity was 0.46% and was represented by the median value. </w:t>
      </w:r>
    </w:p>
    <w:p w:rsidR="00AB4C9C" w:rsidRDefault="00AB4C9C" w:rsidP="00AB4C9C">
      <w:pPr>
        <w:spacing w:after="200"/>
        <w:ind w:firstLine="720"/>
      </w:pPr>
      <w:r>
        <w:t xml:space="preserve">After deriving alkalinity, </w:t>
      </w:r>
      <w:r w:rsidR="00B2141B">
        <w:t xml:space="preserve">the </w:t>
      </w:r>
      <w:r>
        <w:t>pCO</w:t>
      </w:r>
      <w:r w:rsidRPr="002331AD">
        <w:rPr>
          <w:vertAlign w:val="subscript"/>
        </w:rPr>
        <w:t>2</w:t>
      </w:r>
      <w:r>
        <w:t xml:space="preserve">, </w:t>
      </w:r>
      <w:proofErr w:type="spellStart"/>
      <w:r>
        <w:t>pH</w:t>
      </w:r>
      <w:r w:rsidRPr="00054072">
        <w:rPr>
          <w:vertAlign w:val="subscript"/>
        </w:rPr>
        <w:t>T</w:t>
      </w:r>
      <w:proofErr w:type="spellEnd"/>
      <w:r>
        <w:t xml:space="preserve">, and carbonate mineral saturation states were calculated at </w:t>
      </w:r>
      <w:r w:rsidRPr="002331AD">
        <w:rPr>
          <w:i/>
          <w:iCs/>
        </w:rPr>
        <w:t>in situ</w:t>
      </w:r>
      <w:r>
        <w:t xml:space="preserve"> temperature, salinity, and pressure</w:t>
      </w:r>
      <w:r w:rsidR="004329AD" w:rsidRPr="004329AD">
        <w:t xml:space="preserve"> </w:t>
      </w:r>
      <w:r w:rsidR="004329AD">
        <w:t>using the same suite of marine CO</w:t>
      </w:r>
      <w:r w:rsidR="004329AD" w:rsidRPr="00007459">
        <w:rPr>
          <w:vertAlign w:val="subscript"/>
        </w:rPr>
        <w:t>2</w:t>
      </w:r>
      <w:r w:rsidR="004329AD">
        <w:t xml:space="preserve"> system constants</w:t>
      </w:r>
      <w:r>
        <w:t>. This calculation was done using CO2SYS with derived alkalinity and measured TCO</w:t>
      </w:r>
      <w:r w:rsidRPr="002331AD">
        <w:rPr>
          <w:vertAlign w:val="subscript"/>
        </w:rPr>
        <w:t>2</w:t>
      </w:r>
      <w:r>
        <w:t>. However, it is important to note that evaluating the uncertainty of these terms using the derived alkalinity and measured TCO</w:t>
      </w:r>
      <w:r w:rsidRPr="00054072">
        <w:rPr>
          <w:vertAlign w:val="subscript"/>
        </w:rPr>
        <w:t>2</w:t>
      </w:r>
      <w:r>
        <w:t xml:space="preserve"> uncertainties would result in double-counting the measured TCO</w:t>
      </w:r>
      <w:r w:rsidRPr="00054072">
        <w:rPr>
          <w:vertAlign w:val="subscript"/>
        </w:rPr>
        <w:t>2</w:t>
      </w:r>
      <w:r>
        <w:t xml:space="preserve"> uncertainty. Therefore, we evaluate the uncertainty in pCO</w:t>
      </w:r>
      <w:r w:rsidRPr="002331AD">
        <w:rPr>
          <w:vertAlign w:val="subscript"/>
        </w:rPr>
        <w:t>2</w:t>
      </w:r>
      <w:r>
        <w:t xml:space="preserve">, </w:t>
      </w:r>
      <w:proofErr w:type="spellStart"/>
      <w:r>
        <w:t>pH</w:t>
      </w:r>
      <w:r w:rsidRPr="007D7B10">
        <w:rPr>
          <w:vertAlign w:val="subscript"/>
        </w:rPr>
        <w:t>T</w:t>
      </w:r>
      <w:proofErr w:type="spellEnd"/>
      <w:r>
        <w:t>, and carbonate mineral saturation states at in situ conditions using the uncertainties in our direct measurements, pCO</w:t>
      </w:r>
      <w:r w:rsidRPr="00D93E40">
        <w:rPr>
          <w:vertAlign w:val="subscript"/>
        </w:rPr>
        <w:t>2</w:t>
      </w:r>
      <w:r>
        <w:t xml:space="preserve"> and TCO</w:t>
      </w:r>
      <w:r w:rsidRPr="00D93E40">
        <w:rPr>
          <w:vertAlign w:val="subscript"/>
        </w:rPr>
        <w:t>2</w:t>
      </w:r>
      <w:r>
        <w:t>, in addition to uncertainty in the dissociation constants. Uncertainty in these derived parameters was evaluated as before by propagating the uncertainties of the input parameters. The median uncertainty values for pCO</w:t>
      </w:r>
      <w:r w:rsidRPr="0003765B">
        <w:rPr>
          <w:vertAlign w:val="subscript"/>
        </w:rPr>
        <w:t>2</w:t>
      </w:r>
      <w:r>
        <w:t xml:space="preserve">, pH, and calcite saturation state were 1.5%, 0.012, and 4.8%, respectively. Note that we report the absolute uncertainty for </w:t>
      </w:r>
      <w:proofErr w:type="spellStart"/>
      <w:r>
        <w:t>pH</w:t>
      </w:r>
      <w:r w:rsidRPr="00D93E40">
        <w:rPr>
          <w:vertAlign w:val="subscript"/>
        </w:rPr>
        <w:t>T</w:t>
      </w:r>
      <w:proofErr w:type="spellEnd"/>
      <w:r>
        <w:t xml:space="preserve"> because it is a logarithmic variable; an absolute uncertainty in pH represents a relative uncertainty in hydrogen ion content</w:t>
      </w:r>
      <w:r>
        <w:fldChar w:fldCharType="begin"/>
      </w:r>
      <w:r w:rsidR="004329AD">
        <w:instrText xml:space="preserve"> ADDIN EN.CITE &lt;EndNote&gt;&lt;Cite&gt;&lt;Author&gt;Orr&lt;/Author&gt;&lt;Year&gt;2018&lt;/Year&gt;&lt;RecNum&gt;778&lt;/RecNum&gt;&lt;DisplayText&gt;&lt;style face="superscript"&gt;11&lt;/style&gt;&lt;/DisplayText&gt;&lt;record&gt;&lt;rec-number&gt;778&lt;/rec-number&gt;&lt;foreign-keys&gt;&lt;key app="EN" db-id="w950ea2scwf59ee9928pe0ag9xtwvetfftpd" timestamp="1521824335"&gt;778&lt;/key&gt;&lt;/foreign-keys&gt;&lt;ref-type name="Journal Article"&gt;17&lt;/ref-type&gt;&lt;contributors&gt;&lt;authors&gt;&lt;author&gt;Orr, J. C.&lt;/author&gt;&lt;author&gt;Epitalon, J.-M.&lt;/author&gt;&lt;author&gt;Dickson, Andrew G.&lt;/author&gt;&lt;author&gt;Gattuso, J.-P.&lt;/author&gt;&lt;/authors&gt;&lt;/contributors&gt;&lt;titles&gt;&lt;title&gt;Routine uncertainty propagation for the marine carbon dioxide system&lt;/title&gt;&lt;secondary-title&gt;Marine Chemistry&lt;/secondary-title&gt;&lt;/titles&gt;&lt;periodical&gt;&lt;full-title&gt;Marine Chemistry&lt;/full-title&gt;&lt;/periodical&gt;&lt;pages&gt;84-107&lt;/pages&gt;&lt;volume&gt;207&lt;/volume&gt;&lt;dates&gt;&lt;year&gt;2018&lt;/year&gt;&lt;/dates&gt;&lt;urls&gt;&lt;/urls&gt;&lt;electronic-resource-num&gt;10.1016/j.marchem.2018.10.006&lt;/electronic-resource-num&gt;&lt;/record&gt;&lt;/Cite&gt;&lt;/EndNote&gt;</w:instrText>
      </w:r>
      <w:r>
        <w:fldChar w:fldCharType="separate"/>
      </w:r>
      <w:r w:rsidR="004329AD" w:rsidRPr="004329AD">
        <w:rPr>
          <w:noProof/>
          <w:vertAlign w:val="superscript"/>
        </w:rPr>
        <w:t>11</w:t>
      </w:r>
      <w:r>
        <w:fldChar w:fldCharType="end"/>
      </w:r>
      <w:r>
        <w:t>. We take the median values to reflect our typical uncertainties for these variables. To provide additional context for these estimates of uncertainty, we prescribed the “weather quality” threshold of 10 µmol/kg for TCO</w:t>
      </w:r>
      <w:r w:rsidRPr="00D93E40">
        <w:rPr>
          <w:vertAlign w:val="subscript"/>
        </w:rPr>
        <w:t>2</w:t>
      </w:r>
      <w:r>
        <w:t xml:space="preserve"> and alkalinity</w:t>
      </w:r>
      <w:r>
        <w:fldChar w:fldCharType="begin"/>
      </w:r>
      <w:r w:rsidR="00F659DC">
        <w:instrText xml:space="preserve"> ADDIN EN.CITE &lt;EndNote&gt;&lt;Cite&gt;&lt;Author&gt;Newton&lt;/Author&gt;&lt;Year&gt;2015&lt;/Year&gt;&lt;RecNum&gt;704&lt;/RecNum&gt;&lt;DisplayText&gt;&lt;style face="superscript"&gt;4&lt;/style&gt;&lt;/DisplayText&gt;&lt;record&gt;&lt;rec-number&gt;704&lt;/rec-number&gt;&lt;foreign-keys&gt;&lt;key app="EN" db-id="w950ea2scwf59ee9928pe0ag9xtwvetfftpd" timestamp="1474314660"&gt;704&lt;/key&gt;&lt;/foreign-keys&gt;&lt;ref-type name="Journal Article"&gt;17&lt;/ref-type&gt;&lt;contributors&gt;&lt;authors&gt;&lt;author&gt;Newton, J. A.&lt;/author&gt;&lt;author&gt;Feely, R. A.&lt;/author&gt;&lt;author&gt;Jewett, Elizabeth B.&lt;/author&gt;&lt;author&gt;Williamson, P.&lt;/author&gt;&lt;author&gt;Mathis, J.&lt;/author&gt;&lt;/authors&gt;&lt;/contributors&gt;&lt;titles&gt;&lt;title&gt;Global Ocean Acidification Observing Network: Requirements and Governance Plan &lt;/title&gt;&lt;secondary-title&gt;http://goa-on.org/docs/GOA-ON_2nd_edition_final.pdf&lt;/secondary-title&gt;&lt;/titles&gt;&lt;periodical&gt;&lt;full-title&gt;http://goa-on.org/docs/GOA-ON_2nd_edition_final.pdf&lt;/full-title&gt;&lt;/periodical&gt;&lt;pages&gt;60&lt;/pages&gt;&lt;dates&gt;&lt;year&gt;2015&lt;/year&gt;&lt;/dates&gt;&lt;urls&gt;&lt;related-urls&gt;&lt;url&gt;http://www.goa-on.org/docs/GOA-ON_plan_print.pdf&lt;/url&gt;&lt;/related-urls&gt;&lt;/urls&gt;&lt;/record&gt;&lt;/Cite&gt;&lt;/EndNote&gt;</w:instrText>
      </w:r>
      <w:r>
        <w:fldChar w:fldCharType="separate"/>
      </w:r>
      <w:r w:rsidR="00F659DC" w:rsidRPr="00F659DC">
        <w:rPr>
          <w:noProof/>
          <w:vertAlign w:val="superscript"/>
        </w:rPr>
        <w:t>4</w:t>
      </w:r>
      <w:r>
        <w:fldChar w:fldCharType="end"/>
      </w:r>
      <w:r>
        <w:t xml:space="preserve"> to the data used to create Figure </w:t>
      </w:r>
      <w:r w:rsidR="00B2141B">
        <w:t>4</w:t>
      </w:r>
      <w:r>
        <w:t xml:space="preserve">. This assessment </w:t>
      </w:r>
      <w:r w:rsidR="008C3C7B">
        <w:t>highlights</w:t>
      </w:r>
      <w:r>
        <w:t xml:space="preserve"> that our data quality is within the “weather quality” threshold, as well as our assessment of calcite saturation state uncertainty is consistent with the 4% uncertainty in aragonite saturation states reported in another study using the same instrumentation</w:t>
      </w:r>
      <w:r>
        <w:fldChar w:fldCharType="begin"/>
      </w:r>
      <w:r w:rsidR="004329AD">
        <w:instrText xml:space="preserve"> ADDIN EN.CITE &lt;EndNote&gt;&lt;Cite&gt;&lt;Author&gt;Hales&lt;/Author&gt;&lt;Year&gt;2016&lt;/Year&gt;&lt;RecNum&gt;736&lt;/RecNum&gt;&lt;DisplayText&gt;&lt;style face="superscript"&gt;12&lt;/style&gt;&lt;/DisplayText&gt;&lt;record&gt;&lt;rec-number&gt;736&lt;/rec-number&gt;&lt;foreign-keys&gt;&lt;key app="EN" db-id="w950ea2scwf59ee9928pe0ag9xtwvetfftpd" timestamp="1487095272"&gt;736&lt;/key&gt;&lt;/foreign-keys&gt;&lt;ref-type name="Journal Article"&gt;17&lt;/ref-type&gt;&lt;contributors&gt;&lt;authors&gt;&lt;author&gt;Hales, B.&lt;/author&gt;&lt;author&gt;Suhrbier, A.&lt;/author&gt;&lt;author&gt;Waldbusser, G. G.&lt;/author&gt;&lt;author&gt;Feely, R. A.&lt;/author&gt;&lt;author&gt;Newton, J. A.&lt;/author&gt;&lt;/authors&gt;&lt;/contributors&gt;&lt;titles&gt;&lt;title&gt;The Carbonate Chemistry of the &amp;quot;Fattening Line,&amp;quot; Willapa Bay, 2011-2014&lt;/title&gt;&lt;secondary-title&gt;Estuaries and Coasts&lt;/secondary-title&gt;&lt;/titles&gt;&lt;periodical&gt;&lt;full-title&gt;Estuaries and Coasts&lt;/full-title&gt;&lt;/periodical&gt;&lt;pages&gt;DOI 10.1007/s12237-016-0136-7&lt;/pages&gt;&lt;dates&gt;&lt;year&gt;2016&lt;/year&gt;&lt;/dates&gt;&lt;urls&gt;&lt;/urls&gt;&lt;/record&gt;&lt;/Cite&gt;&lt;/EndNote&gt;</w:instrText>
      </w:r>
      <w:r>
        <w:fldChar w:fldCharType="separate"/>
      </w:r>
      <w:r w:rsidR="004329AD" w:rsidRPr="004329AD">
        <w:rPr>
          <w:noProof/>
          <w:vertAlign w:val="superscript"/>
        </w:rPr>
        <w:t>12</w:t>
      </w:r>
      <w:r>
        <w:fldChar w:fldCharType="end"/>
      </w:r>
      <w:r>
        <w:t xml:space="preserve">. </w:t>
      </w:r>
    </w:p>
    <w:p w:rsidR="00AB4C9C" w:rsidRDefault="00AB4C9C" w:rsidP="00AB4C9C">
      <w:pPr>
        <w:spacing w:after="200"/>
      </w:pPr>
      <w:r>
        <w:rPr>
          <w:noProof/>
          <w14:ligatures w14:val="standardContextual"/>
        </w:rPr>
        <w:lastRenderedPageBreak/>
        <w:drawing>
          <wp:inline distT="0" distB="0" distL="0" distR="0" wp14:anchorId="4F5E2384" wp14:editId="69854E9A">
            <wp:extent cx="5943600" cy="4487545"/>
            <wp:effectExtent l="0" t="0" r="0" b="0"/>
            <wp:docPr id="169126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61773" name="Picture 169126177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87545"/>
                    </a:xfrm>
                    <a:prstGeom prst="rect">
                      <a:avLst/>
                    </a:prstGeom>
                  </pic:spPr>
                </pic:pic>
              </a:graphicData>
            </a:graphic>
          </wp:inline>
        </w:drawing>
      </w:r>
      <w:r w:rsidDel="00C32174">
        <w:rPr>
          <w:noProof/>
          <w14:ligatures w14:val="standardContextual"/>
        </w:rPr>
        <w:t xml:space="preserve"> </w:t>
      </w:r>
    </w:p>
    <w:p w:rsidR="00AB4C9C" w:rsidRDefault="00AB4C9C" w:rsidP="00AB4C9C">
      <w:pPr>
        <w:spacing w:after="200"/>
      </w:pPr>
      <w:r>
        <w:rPr>
          <w:b/>
          <w:bCs/>
        </w:rPr>
        <w:t>Figure</w:t>
      </w:r>
      <w:r w:rsidRPr="009264BE">
        <w:rPr>
          <w:b/>
          <w:bCs/>
        </w:rPr>
        <w:t xml:space="preserve"> </w:t>
      </w:r>
      <w:r w:rsidR="000C6713">
        <w:rPr>
          <w:b/>
          <w:bCs/>
        </w:rPr>
        <w:t>4</w:t>
      </w:r>
      <w:r w:rsidRPr="009264BE">
        <w:rPr>
          <w:b/>
          <w:bCs/>
        </w:rPr>
        <w:t>:</w:t>
      </w:r>
      <w:r>
        <w:t xml:space="preserve"> Uncertainty in pCO</w:t>
      </w:r>
      <w:r w:rsidRPr="00922063">
        <w:rPr>
          <w:vertAlign w:val="subscript"/>
        </w:rPr>
        <w:t>2</w:t>
      </w:r>
      <w:r>
        <w:t xml:space="preserve"> (top; relative %), calcite saturation states (</w:t>
      </w:r>
      <w:proofErr w:type="spellStart"/>
      <w:r>
        <w:t>Ω</w:t>
      </w:r>
      <w:r w:rsidRPr="00922063">
        <w:rPr>
          <w:vertAlign w:val="subscript"/>
        </w:rPr>
        <w:t>cal</w:t>
      </w:r>
      <w:proofErr w:type="spellEnd"/>
      <w:r>
        <w:t xml:space="preserve">; middle; relative %), and </w:t>
      </w:r>
      <w:proofErr w:type="spellStart"/>
      <w:r>
        <w:t>pH</w:t>
      </w:r>
      <w:r w:rsidRPr="00311BE1">
        <w:rPr>
          <w:vertAlign w:val="subscript"/>
        </w:rPr>
        <w:t>T</w:t>
      </w:r>
      <w:proofErr w:type="spellEnd"/>
      <w:r>
        <w:t xml:space="preserve"> (bottom) as a function of TCO</w:t>
      </w:r>
      <w:r w:rsidRPr="00BB2197">
        <w:rPr>
          <w:vertAlign w:val="subscript"/>
        </w:rPr>
        <w:t>2</w:t>
      </w:r>
      <w:r>
        <w:t xml:space="preserve"> content (µmol/kg) with color indicating the corresponding derived parameter values. Also shown as red dots are parameter uncertainties calculated with prescribed GOA-ON “weather” thresholds for pCO</w:t>
      </w:r>
      <w:r w:rsidRPr="00E1389C">
        <w:rPr>
          <w:vertAlign w:val="subscript"/>
        </w:rPr>
        <w:t>2</w:t>
      </w:r>
      <w:r>
        <w:t xml:space="preserve"> and TCO</w:t>
      </w:r>
      <w:r w:rsidRPr="00EA50E1">
        <w:rPr>
          <w:vertAlign w:val="subscript"/>
        </w:rPr>
        <w:t>2</w:t>
      </w:r>
      <w:r>
        <w:t>, respectively. As indicated using median values, typical pCO</w:t>
      </w:r>
      <w:r w:rsidRPr="00922063">
        <w:rPr>
          <w:vertAlign w:val="subscript"/>
        </w:rPr>
        <w:t>2</w:t>
      </w:r>
      <w:r>
        <w:t xml:space="preserve">, </w:t>
      </w:r>
      <w:proofErr w:type="spellStart"/>
      <w:r>
        <w:t>Ω</w:t>
      </w:r>
      <w:r w:rsidRPr="00AA06C1">
        <w:rPr>
          <w:vertAlign w:val="subscript"/>
        </w:rPr>
        <w:t>cal</w:t>
      </w:r>
      <w:proofErr w:type="spellEnd"/>
      <w:r>
        <w:t xml:space="preserve">, and </w:t>
      </w:r>
      <w:proofErr w:type="spellStart"/>
      <w:r>
        <w:t>pH</w:t>
      </w:r>
      <w:r w:rsidRPr="00311BE1">
        <w:rPr>
          <w:vertAlign w:val="subscript"/>
        </w:rPr>
        <w:t>T</w:t>
      </w:r>
      <w:proofErr w:type="spellEnd"/>
      <w:r>
        <w:t xml:space="preserve"> uncertainty was 1.5%, 4.8% and 0.012, respectively.</w:t>
      </w:r>
    </w:p>
    <w:p w:rsidR="00AB4C9C" w:rsidRDefault="00AB4C9C" w:rsidP="00AB4C9C">
      <w:pPr>
        <w:spacing w:after="200"/>
      </w:pPr>
      <w:r>
        <w:rPr>
          <w:i/>
          <w:iCs/>
          <w:u w:val="single"/>
        </w:rPr>
        <w:t>Examining deviations in the global calcium-salinity relationship</w:t>
      </w:r>
    </w:p>
    <w:p w:rsidR="00AB4C9C" w:rsidRDefault="00AB4C9C" w:rsidP="00AB4C9C">
      <w:pPr>
        <w:spacing w:after="200"/>
        <w:rPr>
          <w:b/>
          <w:bCs/>
        </w:rPr>
      </w:pPr>
      <w:r>
        <w:tab/>
        <w:t>We wanted to consider the potential for local deviations in the global calcium-salinity relationship used within the CO2SYS software as an additional source of uncertainty for saturation state determinations</w:t>
      </w:r>
      <w:r w:rsidR="001C50F1">
        <w:fldChar w:fldCharType="begin"/>
      </w:r>
      <w:r w:rsidR="004329AD">
        <w:instrText xml:space="preserve"> ADDIN EN.CITE &lt;EndNote&gt;&lt;Cite&gt;&lt;Author&gt;Dillon&lt;/Author&gt;&lt;Year&gt;2020&lt;/Year&gt;&lt;RecNum&gt;906&lt;/RecNum&gt;&lt;DisplayText&gt;&lt;style face="superscript"&gt;13&lt;/style&gt;&lt;/DisplayText&gt;&lt;record&gt;&lt;rec-number&gt;906&lt;/rec-number&gt;&lt;foreign-keys&gt;&lt;key app="EN" db-id="w950ea2scwf59ee9928pe0ag9xtwvetfftpd" timestamp="1624924636"&gt;906&lt;/key&gt;&lt;/foreign-keys&gt;&lt;ref-type name="Journal Article"&gt;17&lt;/ref-type&gt;&lt;contributors&gt;&lt;authors&gt;&lt;author&gt;Dillon, W. D. N.&lt;/author&gt;&lt;author&gt;Dillingham, P. W.&lt;/author&gt;&lt;author&gt;Currie, K. I.&lt;/author&gt;&lt;author&gt;McGraw, Christina M.&lt;/author&gt;&lt;/authors&gt;&lt;/contributors&gt;&lt;titles&gt;&lt;title&gt;Inclusion of uncertainty in the calcium-salinity relationships improves estimates of ocean acidification monitoring data quality&lt;/title&gt;&lt;secondary-title&gt;Marine Chemistry&lt;/secondary-title&gt;&lt;/titles&gt;&lt;periodical&gt;&lt;full-title&gt;Marine Chemistry&lt;/full-title&gt;&lt;/periodical&gt;&lt;pages&gt;103872&lt;/pages&gt;&lt;volume&gt;226&lt;/volume&gt;&lt;dates&gt;&lt;year&gt;2020&lt;/year&gt;&lt;/dates&gt;&lt;urls&gt;&lt;/urls&gt;&lt;/record&gt;&lt;/Cite&gt;&lt;/EndNote&gt;</w:instrText>
      </w:r>
      <w:r w:rsidR="001C50F1">
        <w:fldChar w:fldCharType="separate"/>
      </w:r>
      <w:r w:rsidR="004329AD" w:rsidRPr="004329AD">
        <w:rPr>
          <w:noProof/>
          <w:vertAlign w:val="superscript"/>
        </w:rPr>
        <w:t>13</w:t>
      </w:r>
      <w:r w:rsidR="001C50F1">
        <w:fldChar w:fldCharType="end"/>
      </w:r>
      <w:r>
        <w:t xml:space="preserve">. Calcium samples were collected during two surveys at oceanographic station QU39 and used to examine this potential. We lack local freshwater data to build a robust regional relationship, but we do note from this comparison that there is a slight tendency to over-estimate saturation state without better regional constraint of the calcium content. The degree of this over-estimate is approximately 0.04 based on these limited data. </w:t>
      </w:r>
    </w:p>
    <w:p w:rsidR="00AB4C9C" w:rsidRDefault="00AB4C9C" w:rsidP="00AB4C9C">
      <w:r>
        <w:rPr>
          <w:b/>
          <w:bCs/>
        </w:rPr>
        <w:t>Table</w:t>
      </w:r>
      <w:r w:rsidRPr="009264BE">
        <w:rPr>
          <w:b/>
          <w:bCs/>
        </w:rPr>
        <w:t xml:space="preserve"> </w:t>
      </w:r>
      <w:r w:rsidR="000C6713">
        <w:rPr>
          <w:b/>
          <w:bCs/>
        </w:rPr>
        <w:t>1</w:t>
      </w:r>
      <w:r w:rsidRPr="009264BE">
        <w:rPr>
          <w:b/>
          <w:bCs/>
        </w:rPr>
        <w:t>:</w:t>
      </w:r>
      <w:r>
        <w:rPr>
          <w:b/>
          <w:bCs/>
        </w:rPr>
        <w:t xml:space="preserve"> </w:t>
      </w:r>
      <w:r>
        <w:t xml:space="preserve">The difference between measured and calculated calcium content using CO2SYS and the impact on derived aragonite saturation states. The measurements were made on December 1, 2020 (Date 1) and December 17, 2020 (Date 2). The average difference between derived aragonite saturation states using measured calcium or calcium calculated in CO2SYS was -0.04, </w:t>
      </w:r>
      <w:r>
        <w:lastRenderedPageBreak/>
        <w:t xml:space="preserve">suggesting a slight offset in saturation states derived using the global calcium-salinity relationship within CO2SYS. </w:t>
      </w:r>
    </w:p>
    <w:p w:rsidR="00AB4C9C" w:rsidRPr="000C560F" w:rsidRDefault="00AB4C9C" w:rsidP="00AB4C9C"/>
    <w:tbl>
      <w:tblPr>
        <w:tblW w:w="6419" w:type="dxa"/>
        <w:jc w:val="center"/>
        <w:tblCellMar>
          <w:left w:w="0" w:type="dxa"/>
          <w:right w:w="0" w:type="dxa"/>
        </w:tblCellMar>
        <w:tblLook w:val="0600" w:firstRow="0" w:lastRow="0" w:firstColumn="0" w:lastColumn="0" w:noHBand="1" w:noVBand="1"/>
      </w:tblPr>
      <w:tblGrid>
        <w:gridCol w:w="557"/>
        <w:gridCol w:w="567"/>
        <w:gridCol w:w="709"/>
        <w:gridCol w:w="992"/>
        <w:gridCol w:w="851"/>
        <w:gridCol w:w="992"/>
        <w:gridCol w:w="992"/>
        <w:gridCol w:w="759"/>
      </w:tblGrid>
      <w:tr w:rsidR="00AB4C9C" w:rsidRPr="00BE1194" w:rsidTr="00EE580A">
        <w:trPr>
          <w:trHeight w:val="292"/>
          <w:jc w:val="center"/>
        </w:trPr>
        <w:tc>
          <w:tcPr>
            <w:tcW w:w="557" w:type="dxa"/>
            <w:tcBorders>
              <w:top w:val="single" w:sz="8" w:space="0" w:color="000000"/>
              <w:left w:val="single" w:sz="8" w:space="0" w:color="000000"/>
              <w:bottom w:val="single" w:sz="6" w:space="0" w:color="FFFFFF"/>
              <w:right w:val="single" w:sz="6" w:space="0" w:color="FFFFFF"/>
            </w:tcBorders>
            <w:shd w:val="clear" w:color="auto" w:fill="FFFFFF"/>
            <w:tcMar>
              <w:top w:w="14" w:type="dxa"/>
              <w:left w:w="14" w:type="dxa"/>
              <w:bottom w:w="0" w:type="dxa"/>
              <w:right w:w="14" w:type="dxa"/>
            </w:tcMar>
            <w:vAlign w:val="bottom"/>
            <w:hideMark/>
          </w:tcPr>
          <w:p w:rsidR="00AB4C9C" w:rsidRPr="00BE1194" w:rsidRDefault="00AB4C9C" w:rsidP="00EE580A">
            <w:pPr>
              <w:rPr>
                <w:sz w:val="16"/>
                <w:szCs w:val="16"/>
              </w:rPr>
            </w:pPr>
          </w:p>
        </w:tc>
        <w:tc>
          <w:tcPr>
            <w:tcW w:w="567" w:type="dxa"/>
            <w:tcBorders>
              <w:top w:val="single" w:sz="8" w:space="0" w:color="000000"/>
              <w:left w:val="single" w:sz="6" w:space="0" w:color="FFFFFF"/>
              <w:bottom w:val="single" w:sz="6" w:space="0" w:color="FFFFFF"/>
              <w:right w:val="single" w:sz="8" w:space="0" w:color="000000"/>
            </w:tcBorders>
            <w:shd w:val="clear" w:color="auto" w:fill="FFFFFF"/>
            <w:tcMar>
              <w:top w:w="14" w:type="dxa"/>
              <w:left w:w="14" w:type="dxa"/>
              <w:bottom w:w="0" w:type="dxa"/>
              <w:right w:w="14" w:type="dxa"/>
            </w:tcMar>
            <w:vAlign w:val="bottom"/>
            <w:hideMark/>
          </w:tcPr>
          <w:p w:rsidR="00AB4C9C" w:rsidRPr="00BE1194" w:rsidRDefault="00AB4C9C" w:rsidP="00EE580A">
            <w:pPr>
              <w:rPr>
                <w:sz w:val="16"/>
                <w:szCs w:val="16"/>
              </w:rPr>
            </w:pPr>
          </w:p>
        </w:tc>
        <w:tc>
          <w:tcPr>
            <w:tcW w:w="2552" w:type="dxa"/>
            <w:gridSpan w:val="3"/>
            <w:tcBorders>
              <w:top w:val="single" w:sz="8" w:space="0" w:color="000000"/>
              <w:left w:val="single" w:sz="8" w:space="0" w:color="000000"/>
              <w:bottom w:val="single" w:sz="6" w:space="0" w:color="FFFFFF"/>
              <w:right w:val="single" w:sz="8" w:space="0" w:color="000000"/>
            </w:tcBorders>
            <w:shd w:val="clear" w:color="auto" w:fill="FFFFFF"/>
            <w:tcMar>
              <w:top w:w="14" w:type="dxa"/>
              <w:left w:w="14" w:type="dxa"/>
              <w:bottom w:w="0" w:type="dxa"/>
              <w:right w:w="14" w:type="dxa"/>
            </w:tcMar>
            <w:vAlign w:val="bottom"/>
            <w:hideMark/>
          </w:tcPr>
          <w:p w:rsidR="00AB4C9C" w:rsidRPr="00BE1194" w:rsidRDefault="00AB4C9C" w:rsidP="00EE580A">
            <w:pPr>
              <w:rPr>
                <w:sz w:val="16"/>
                <w:szCs w:val="16"/>
              </w:rPr>
            </w:pPr>
            <w:r w:rsidRPr="00BE1194">
              <w:rPr>
                <w:b/>
                <w:bCs/>
                <w:sz w:val="16"/>
                <w:szCs w:val="16"/>
              </w:rPr>
              <w:t>[Ca2</w:t>
            </w:r>
            <w:r w:rsidRPr="00BE1194">
              <w:rPr>
                <w:b/>
                <w:bCs/>
                <w:sz w:val="16"/>
                <w:szCs w:val="16"/>
                <w:vertAlign w:val="superscript"/>
              </w:rPr>
              <w:t>+</w:t>
            </w:r>
            <w:r w:rsidRPr="00BE1194">
              <w:rPr>
                <w:b/>
                <w:bCs/>
                <w:sz w:val="16"/>
                <w:szCs w:val="16"/>
              </w:rPr>
              <w:t>], mol kg</w:t>
            </w:r>
            <w:r w:rsidRPr="00BE1194">
              <w:rPr>
                <w:b/>
                <w:bCs/>
                <w:sz w:val="16"/>
                <w:szCs w:val="16"/>
                <w:vertAlign w:val="superscript"/>
              </w:rPr>
              <w:t>-1</w:t>
            </w:r>
          </w:p>
        </w:tc>
        <w:tc>
          <w:tcPr>
            <w:tcW w:w="2743" w:type="dxa"/>
            <w:gridSpan w:val="3"/>
            <w:tcBorders>
              <w:top w:val="single" w:sz="8" w:space="0" w:color="000000"/>
              <w:left w:val="single" w:sz="8" w:space="0" w:color="000000"/>
              <w:bottom w:val="single" w:sz="6" w:space="0" w:color="FFFFFF"/>
              <w:right w:val="single" w:sz="8" w:space="0" w:color="000000"/>
            </w:tcBorders>
            <w:shd w:val="clear" w:color="auto" w:fill="FFFFFF"/>
            <w:tcMar>
              <w:top w:w="14" w:type="dxa"/>
              <w:left w:w="14" w:type="dxa"/>
              <w:bottom w:w="0" w:type="dxa"/>
              <w:right w:w="14" w:type="dxa"/>
            </w:tcMar>
            <w:vAlign w:val="bottom"/>
            <w:hideMark/>
          </w:tcPr>
          <w:p w:rsidR="00AB4C9C" w:rsidRPr="00BE1194" w:rsidRDefault="00AB4C9C" w:rsidP="00EE580A">
            <w:pPr>
              <w:rPr>
                <w:sz w:val="16"/>
                <w:szCs w:val="16"/>
              </w:rPr>
            </w:pPr>
            <w:r w:rsidRPr="00BE1194">
              <w:rPr>
                <w:b/>
                <w:bCs/>
                <w:sz w:val="16"/>
                <w:szCs w:val="16"/>
              </w:rPr>
              <w:t xml:space="preserve">Calculated </w:t>
            </w:r>
            <w:proofErr w:type="spellStart"/>
            <w:r w:rsidRPr="00BE1194">
              <w:rPr>
                <w:b/>
                <w:bCs/>
                <w:sz w:val="16"/>
                <w:szCs w:val="16"/>
              </w:rPr>
              <w:t>ΩAr</w:t>
            </w:r>
            <w:proofErr w:type="spellEnd"/>
          </w:p>
        </w:tc>
      </w:tr>
      <w:tr w:rsidR="00AB4C9C" w:rsidRPr="00BE1194" w:rsidTr="00EE580A">
        <w:trPr>
          <w:trHeight w:val="276"/>
          <w:jc w:val="center"/>
        </w:trPr>
        <w:tc>
          <w:tcPr>
            <w:tcW w:w="557" w:type="dxa"/>
            <w:tcBorders>
              <w:top w:val="single" w:sz="6" w:space="0" w:color="FFFFFF"/>
              <w:left w:val="single" w:sz="8" w:space="0" w:color="000000"/>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Date</w:t>
            </w:r>
          </w:p>
        </w:tc>
        <w:tc>
          <w:tcPr>
            <w:tcW w:w="567" w:type="dxa"/>
            <w:tcBorders>
              <w:top w:val="single" w:sz="6" w:space="0" w:color="FFFFFF"/>
              <w:left w:val="single" w:sz="6" w:space="0" w:color="FFFFFF"/>
              <w:bottom w:val="single" w:sz="8" w:space="0" w:color="000000"/>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Depth</w:t>
            </w:r>
          </w:p>
        </w:tc>
        <w:tc>
          <w:tcPr>
            <w:tcW w:w="709" w:type="dxa"/>
            <w:tcBorders>
              <w:top w:val="single" w:sz="6" w:space="0" w:color="FFFFFF"/>
              <w:left w:val="single" w:sz="8" w:space="0" w:color="000000"/>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YSI_S</w:t>
            </w:r>
          </w:p>
        </w:tc>
        <w:tc>
          <w:tcPr>
            <w:tcW w:w="992" w:type="dxa"/>
            <w:tcBorders>
              <w:top w:val="single" w:sz="6" w:space="0" w:color="FFFFFF"/>
              <w:left w:val="single" w:sz="6" w:space="0" w:color="FFFFFF"/>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Measured</w:t>
            </w:r>
          </w:p>
        </w:tc>
        <w:tc>
          <w:tcPr>
            <w:tcW w:w="851" w:type="dxa"/>
            <w:tcBorders>
              <w:top w:val="single" w:sz="6" w:space="0" w:color="FFFFFF"/>
              <w:left w:val="single" w:sz="6" w:space="0" w:color="FFFFFF"/>
              <w:bottom w:val="single" w:sz="8" w:space="0" w:color="000000"/>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CO2SYS</w:t>
            </w:r>
          </w:p>
        </w:tc>
        <w:tc>
          <w:tcPr>
            <w:tcW w:w="992" w:type="dxa"/>
            <w:tcBorders>
              <w:top w:val="single" w:sz="6" w:space="0" w:color="FFFFFF"/>
              <w:left w:val="single" w:sz="8" w:space="0" w:color="000000"/>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Meas.[Ca2</w:t>
            </w:r>
            <w:r w:rsidRPr="00BE1194">
              <w:rPr>
                <w:sz w:val="16"/>
                <w:szCs w:val="16"/>
                <w:vertAlign w:val="superscript"/>
              </w:rPr>
              <w:t>+</w:t>
            </w:r>
            <w:r w:rsidRPr="00BE1194">
              <w:rPr>
                <w:sz w:val="16"/>
                <w:szCs w:val="16"/>
              </w:rPr>
              <w:t>]</w:t>
            </w:r>
          </w:p>
        </w:tc>
        <w:tc>
          <w:tcPr>
            <w:tcW w:w="992" w:type="dxa"/>
            <w:tcBorders>
              <w:top w:val="single" w:sz="6" w:space="0" w:color="FFFFFF"/>
              <w:left w:val="single" w:sz="6" w:space="0" w:color="FFFFFF"/>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 xml:space="preserve"> CO2SYS</w:t>
            </w:r>
          </w:p>
        </w:tc>
        <w:tc>
          <w:tcPr>
            <w:tcW w:w="759" w:type="dxa"/>
            <w:tcBorders>
              <w:top w:val="single" w:sz="6" w:space="0" w:color="FFFFFF"/>
              <w:left w:val="single" w:sz="6" w:space="0" w:color="FFFFFF"/>
              <w:bottom w:val="single" w:sz="8" w:space="0" w:color="000000"/>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Diff</w:t>
            </w:r>
          </w:p>
        </w:tc>
      </w:tr>
      <w:tr w:rsidR="00AB4C9C" w:rsidRPr="00BE1194" w:rsidTr="00EE580A">
        <w:trPr>
          <w:trHeight w:val="274"/>
          <w:jc w:val="center"/>
        </w:trPr>
        <w:tc>
          <w:tcPr>
            <w:tcW w:w="557" w:type="dxa"/>
            <w:tcBorders>
              <w:top w:val="single" w:sz="8" w:space="0" w:color="000000"/>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8" w:space="0" w:color="000000"/>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w:t>
            </w:r>
          </w:p>
        </w:tc>
        <w:tc>
          <w:tcPr>
            <w:tcW w:w="709" w:type="dxa"/>
            <w:tcBorders>
              <w:top w:val="single" w:sz="8" w:space="0" w:color="000000"/>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28.1</w:t>
            </w:r>
          </w:p>
        </w:tc>
        <w:tc>
          <w:tcPr>
            <w:tcW w:w="992" w:type="dxa"/>
            <w:tcBorders>
              <w:top w:val="single" w:sz="8" w:space="0" w:color="000000"/>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0.00830</w:t>
            </w:r>
          </w:p>
        </w:tc>
        <w:tc>
          <w:tcPr>
            <w:tcW w:w="851" w:type="dxa"/>
            <w:tcBorders>
              <w:top w:val="single" w:sz="8" w:space="0" w:color="000000"/>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0.00827</w:t>
            </w:r>
          </w:p>
        </w:tc>
        <w:tc>
          <w:tcPr>
            <w:tcW w:w="992" w:type="dxa"/>
            <w:tcBorders>
              <w:top w:val="single" w:sz="8" w:space="0" w:color="000000"/>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0.919</w:t>
            </w:r>
          </w:p>
        </w:tc>
        <w:tc>
          <w:tcPr>
            <w:tcW w:w="992" w:type="dxa"/>
            <w:tcBorders>
              <w:top w:val="single" w:sz="8" w:space="0" w:color="000000"/>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0.914</w:t>
            </w:r>
          </w:p>
        </w:tc>
        <w:tc>
          <w:tcPr>
            <w:tcW w:w="759" w:type="dxa"/>
            <w:tcBorders>
              <w:top w:val="single" w:sz="8" w:space="0" w:color="000000"/>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0.005</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0.00806</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0.00827</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0.892</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0.914</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-0.022</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5</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28.2</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0.00806</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0.00830</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0.854</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0.879</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-0.024</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0.00830</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0.00839</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0.889</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0.897</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28.6</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0.00805</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0.00842</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0.842</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0.878</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-0.037</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28.7</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0.00805</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0.00845</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0.833</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0.872</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-0.039</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40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28.8</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0.00805</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0.00848</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0.808</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0.849</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-0.041</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50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29.1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0.00805</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0.00856</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0.671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0.713</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-0.042</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75</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30.2</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0.00853</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0.00889</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0.579</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0.602</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-0.023</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100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30.7</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0.00877</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0.00903</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0.598</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0.615</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-0.017</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150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30.9</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0.00877</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0.00909</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0.607</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0.629</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-0.022</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200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0.00876</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0.00912</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0.635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0.660</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-0.025</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260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31.1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0.00900</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0.00915</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0.645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0.655</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-0.010</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27.5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0.00782</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0.00809</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0.821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0.849</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-0.028</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27.5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0.00757</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0.00809</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0.795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0.849</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-0.053</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5</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27.7</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0.00782</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0.00815</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0.803</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0.836</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-0.033</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0.00781</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0.00827</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0.776</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0.821</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-0.044</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28.3</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0.00757</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0.00833</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0.756</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0.831</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-0.075</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28.4</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0.00757</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0.00836</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0.747</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0.824</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-0.077</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40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0.00757</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0.00839</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0.751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0.831</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-0.080</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50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28.8</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0.00756</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0.00848</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0.645</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0.722</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-0.077</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75</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30.3</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0.00804</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0.00892</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0.566</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0.627</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-0.061</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100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30.6</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0.00828</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0.00901</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0.567</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0.615</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-0.048</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150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30.9</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0.00828</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0.00909</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0.582</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0.638</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-0.056</w:t>
            </w:r>
          </w:p>
        </w:tc>
      </w:tr>
      <w:tr w:rsidR="00AB4C9C" w:rsidRPr="00BE1194" w:rsidTr="00EE580A">
        <w:trPr>
          <w:trHeight w:val="274"/>
          <w:jc w:val="center"/>
        </w:trPr>
        <w:tc>
          <w:tcPr>
            <w:tcW w:w="557"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200</w:t>
            </w:r>
          </w:p>
        </w:tc>
        <w:tc>
          <w:tcPr>
            <w:tcW w:w="709"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31</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w:t>
            </w:r>
          </w:p>
        </w:tc>
        <w:tc>
          <w:tcPr>
            <w:tcW w:w="851"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0.578</w:t>
            </w:r>
          </w:p>
        </w:tc>
        <w:tc>
          <w:tcPr>
            <w:tcW w:w="992" w:type="dxa"/>
            <w:tcBorders>
              <w:top w:val="single" w:sz="6" w:space="0" w:color="FFFFFF"/>
              <w:left w:val="single" w:sz="8" w:space="0" w:color="000000"/>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w:t>
            </w:r>
          </w:p>
        </w:tc>
        <w:tc>
          <w:tcPr>
            <w:tcW w:w="992" w:type="dxa"/>
            <w:tcBorders>
              <w:top w:val="single" w:sz="6" w:space="0" w:color="FFFFFF"/>
              <w:left w:val="single" w:sz="6" w:space="0" w:color="FFFFFF"/>
              <w:bottom w:val="single" w:sz="6" w:space="0" w:color="FFFFFF"/>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0.636</w:t>
            </w:r>
          </w:p>
        </w:tc>
        <w:tc>
          <w:tcPr>
            <w:tcW w:w="759" w:type="dxa"/>
            <w:tcBorders>
              <w:top w:val="single" w:sz="6" w:space="0" w:color="FFFFFF"/>
              <w:left w:val="single" w:sz="6" w:space="0" w:color="FFFFFF"/>
              <w:bottom w:val="single" w:sz="6" w:space="0" w:color="FFFFFF"/>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-0.058</w:t>
            </w:r>
          </w:p>
        </w:tc>
      </w:tr>
      <w:tr w:rsidR="00AB4C9C" w:rsidRPr="00BE1194" w:rsidTr="00EE580A">
        <w:trPr>
          <w:trHeight w:val="274"/>
          <w:jc w:val="center"/>
        </w:trPr>
        <w:tc>
          <w:tcPr>
            <w:tcW w:w="557" w:type="dxa"/>
            <w:tcBorders>
              <w:top w:val="single" w:sz="6" w:space="0" w:color="FFFFFF"/>
              <w:left w:val="single" w:sz="8" w:space="0" w:color="000000"/>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w:t>
            </w:r>
          </w:p>
        </w:tc>
        <w:tc>
          <w:tcPr>
            <w:tcW w:w="567" w:type="dxa"/>
            <w:tcBorders>
              <w:top w:val="single" w:sz="6" w:space="0" w:color="FFFFFF"/>
              <w:left w:val="single" w:sz="6" w:space="0" w:color="FFFFFF"/>
              <w:bottom w:val="single" w:sz="8" w:space="0" w:color="000000"/>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260</w:t>
            </w:r>
          </w:p>
        </w:tc>
        <w:tc>
          <w:tcPr>
            <w:tcW w:w="709" w:type="dxa"/>
            <w:tcBorders>
              <w:top w:val="single" w:sz="6" w:space="0" w:color="FFFFFF"/>
              <w:left w:val="single" w:sz="8" w:space="0" w:color="000000"/>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31.1</w:t>
            </w:r>
          </w:p>
        </w:tc>
        <w:tc>
          <w:tcPr>
            <w:tcW w:w="992" w:type="dxa"/>
            <w:tcBorders>
              <w:top w:val="single" w:sz="6" w:space="0" w:color="FFFFFF"/>
              <w:left w:val="single" w:sz="6" w:space="0" w:color="FFFFFF"/>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0.008</w:t>
            </w:r>
          </w:p>
        </w:tc>
        <w:tc>
          <w:tcPr>
            <w:tcW w:w="851" w:type="dxa"/>
            <w:tcBorders>
              <w:top w:val="single" w:sz="6" w:space="0" w:color="FFFFFF"/>
              <w:left w:val="single" w:sz="6" w:space="0" w:color="FFFFFF"/>
              <w:bottom w:val="single" w:sz="8" w:space="0" w:color="000000"/>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0.582</w:t>
            </w:r>
          </w:p>
        </w:tc>
        <w:tc>
          <w:tcPr>
            <w:tcW w:w="992" w:type="dxa"/>
            <w:tcBorders>
              <w:top w:val="single" w:sz="6" w:space="0" w:color="FFFFFF"/>
              <w:left w:val="single" w:sz="8" w:space="0" w:color="000000"/>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0.009</w:t>
            </w:r>
          </w:p>
        </w:tc>
        <w:tc>
          <w:tcPr>
            <w:tcW w:w="992" w:type="dxa"/>
            <w:tcBorders>
              <w:top w:val="single" w:sz="6" w:space="0" w:color="FFFFFF"/>
              <w:left w:val="single" w:sz="6" w:space="0" w:color="FFFFFF"/>
              <w:bottom w:val="single" w:sz="8" w:space="0" w:color="000000"/>
              <w:right w:val="single" w:sz="6" w:space="0" w:color="FFFFFF"/>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0.643</w:t>
            </w:r>
          </w:p>
        </w:tc>
        <w:tc>
          <w:tcPr>
            <w:tcW w:w="759" w:type="dxa"/>
            <w:tcBorders>
              <w:top w:val="single" w:sz="6" w:space="0" w:color="FFFFFF"/>
              <w:left w:val="single" w:sz="6" w:space="0" w:color="FFFFFF"/>
              <w:bottom w:val="single" w:sz="8" w:space="0" w:color="000000"/>
              <w:right w:val="single" w:sz="8" w:space="0" w:color="000000"/>
            </w:tcBorders>
            <w:shd w:val="clear" w:color="auto" w:fill="FFFFFF"/>
            <w:tcMar>
              <w:top w:w="15" w:type="dxa"/>
              <w:left w:w="15" w:type="dxa"/>
              <w:bottom w:w="0" w:type="dxa"/>
              <w:right w:w="15" w:type="dxa"/>
            </w:tcMar>
            <w:vAlign w:val="bottom"/>
            <w:hideMark/>
          </w:tcPr>
          <w:p w:rsidR="00AB4C9C" w:rsidRPr="00BE1194" w:rsidRDefault="00AB4C9C" w:rsidP="00EE580A">
            <w:pPr>
              <w:rPr>
                <w:sz w:val="16"/>
                <w:szCs w:val="16"/>
              </w:rPr>
            </w:pPr>
            <w:r w:rsidRPr="00BE1194">
              <w:rPr>
                <w:sz w:val="16"/>
                <w:szCs w:val="16"/>
              </w:rPr>
              <w:t>-0.061</w:t>
            </w:r>
          </w:p>
        </w:tc>
      </w:tr>
    </w:tbl>
    <w:p w:rsidR="00F659DC" w:rsidRDefault="00F659DC" w:rsidP="00AB4C9C"/>
    <w:p w:rsidR="00F659DC" w:rsidRDefault="00F659DC" w:rsidP="00AB4C9C"/>
    <w:p w:rsidR="004329AD" w:rsidRPr="004329AD" w:rsidRDefault="00F659DC" w:rsidP="004329AD">
      <w:pPr>
        <w:pStyle w:val="EndNoteBibliography"/>
        <w:spacing w:after="0"/>
        <w:ind w:left="720" w:hanging="720"/>
        <w:rPr>
          <w:noProof/>
        </w:rPr>
      </w:pPr>
      <w:r>
        <w:fldChar w:fldCharType="begin"/>
      </w:r>
      <w:r>
        <w:instrText xml:space="preserve"> ADDIN EN.REFLIST </w:instrText>
      </w:r>
      <w:r>
        <w:fldChar w:fldCharType="separate"/>
      </w:r>
      <w:r w:rsidR="004329AD" w:rsidRPr="004329AD">
        <w:rPr>
          <w:noProof/>
        </w:rPr>
        <w:t>1</w:t>
      </w:r>
      <w:r w:rsidR="004329AD" w:rsidRPr="004329AD">
        <w:rPr>
          <w:noProof/>
        </w:rPr>
        <w:tab/>
        <w:t>Campbell, K., Weekes, C., Evans, W., Gimenez, I. &amp; Hales, B. Hakai Institute’s Burke-o-Lator TCO</w:t>
      </w:r>
      <w:r w:rsidR="004329AD" w:rsidRPr="004329AD">
        <w:rPr>
          <w:noProof/>
          <w:vertAlign w:val="subscript"/>
        </w:rPr>
        <w:t>2</w:t>
      </w:r>
      <w:r w:rsidR="004329AD" w:rsidRPr="004329AD">
        <w:rPr>
          <w:noProof/>
        </w:rPr>
        <w:t>/pCO</w:t>
      </w:r>
      <w:r w:rsidR="004329AD" w:rsidRPr="004329AD">
        <w:rPr>
          <w:noProof/>
          <w:vertAlign w:val="subscript"/>
        </w:rPr>
        <w:t>2</w:t>
      </w:r>
      <w:r w:rsidR="004329AD" w:rsidRPr="004329AD">
        <w:rPr>
          <w:noProof/>
        </w:rPr>
        <w:t xml:space="preserve"> Analyzer Discrete Sample Analysis Protocols (v2.0). doi:10.21966/1.521066 (2023).</w:t>
      </w:r>
    </w:p>
    <w:p w:rsidR="004329AD" w:rsidRPr="004329AD" w:rsidRDefault="004329AD" w:rsidP="004329AD">
      <w:pPr>
        <w:pStyle w:val="EndNoteBibliography"/>
        <w:spacing w:after="0"/>
        <w:ind w:left="720" w:hanging="720"/>
        <w:rPr>
          <w:noProof/>
        </w:rPr>
      </w:pPr>
      <w:r w:rsidRPr="004329AD">
        <w:rPr>
          <w:noProof/>
        </w:rPr>
        <w:t>2</w:t>
      </w:r>
      <w:r w:rsidRPr="004329AD">
        <w:rPr>
          <w:noProof/>
        </w:rPr>
        <w:tab/>
        <w:t>Evans, W.</w:t>
      </w:r>
      <w:r w:rsidRPr="004329AD">
        <w:rPr>
          <w:i/>
          <w:noProof/>
        </w:rPr>
        <w:t xml:space="preserve"> et al.</w:t>
      </w:r>
      <w:r w:rsidRPr="004329AD">
        <w:rPr>
          <w:noProof/>
        </w:rPr>
        <w:t xml:space="preserve"> Marine CO</w:t>
      </w:r>
      <w:r w:rsidRPr="004329AD">
        <w:rPr>
          <w:noProof/>
          <w:vertAlign w:val="subscript"/>
        </w:rPr>
        <w:t>2</w:t>
      </w:r>
      <w:r w:rsidRPr="004329AD">
        <w:rPr>
          <w:noProof/>
        </w:rPr>
        <w:t xml:space="preserve"> Patterns in the Northern Salish Sea. </w:t>
      </w:r>
      <w:r w:rsidRPr="004329AD">
        <w:rPr>
          <w:i/>
          <w:noProof/>
        </w:rPr>
        <w:t>Frontiers in Marine Science</w:t>
      </w:r>
      <w:r w:rsidRPr="004329AD">
        <w:rPr>
          <w:noProof/>
        </w:rPr>
        <w:t xml:space="preserve"> </w:t>
      </w:r>
      <w:r w:rsidRPr="004329AD">
        <w:rPr>
          <w:b/>
          <w:noProof/>
        </w:rPr>
        <w:t>5</w:t>
      </w:r>
      <w:r w:rsidRPr="004329AD">
        <w:rPr>
          <w:noProof/>
        </w:rPr>
        <w:t>, doi:10.3389/fmars.2018.00536 (2019).</w:t>
      </w:r>
    </w:p>
    <w:p w:rsidR="004329AD" w:rsidRPr="004329AD" w:rsidRDefault="004329AD" w:rsidP="004329AD">
      <w:pPr>
        <w:pStyle w:val="EndNoteBibliography"/>
        <w:spacing w:after="0"/>
        <w:ind w:left="720" w:hanging="720"/>
        <w:rPr>
          <w:noProof/>
        </w:rPr>
      </w:pPr>
      <w:r w:rsidRPr="004329AD">
        <w:rPr>
          <w:noProof/>
        </w:rPr>
        <w:t>3</w:t>
      </w:r>
      <w:r w:rsidRPr="004329AD">
        <w:rPr>
          <w:noProof/>
        </w:rPr>
        <w:tab/>
        <w:t>Jiang, L.-Q.</w:t>
      </w:r>
      <w:r w:rsidRPr="004329AD">
        <w:rPr>
          <w:i/>
          <w:noProof/>
        </w:rPr>
        <w:t xml:space="preserve"> et al.</w:t>
      </w:r>
      <w:r w:rsidRPr="004329AD">
        <w:rPr>
          <w:noProof/>
        </w:rPr>
        <w:t xml:space="preserve"> Best Practices Data Standards for Discrete Chemical Oceanographic Observations. </w:t>
      </w:r>
      <w:r w:rsidRPr="004329AD">
        <w:rPr>
          <w:i/>
          <w:noProof/>
        </w:rPr>
        <w:t>Frontiers in Marine Science</w:t>
      </w:r>
      <w:r w:rsidRPr="004329AD">
        <w:rPr>
          <w:noProof/>
        </w:rPr>
        <w:t xml:space="preserve"> </w:t>
      </w:r>
      <w:r w:rsidRPr="004329AD">
        <w:rPr>
          <w:b/>
          <w:noProof/>
        </w:rPr>
        <w:t>8</w:t>
      </w:r>
      <w:r w:rsidRPr="004329AD">
        <w:rPr>
          <w:noProof/>
        </w:rPr>
        <w:t>, 10.3389/fmars.2021.705638 (2022).</w:t>
      </w:r>
    </w:p>
    <w:p w:rsidR="004329AD" w:rsidRPr="004329AD" w:rsidRDefault="004329AD" w:rsidP="004329AD">
      <w:pPr>
        <w:pStyle w:val="EndNoteBibliography"/>
        <w:spacing w:after="0"/>
        <w:ind w:left="720" w:hanging="720"/>
        <w:rPr>
          <w:noProof/>
        </w:rPr>
      </w:pPr>
      <w:r w:rsidRPr="004329AD">
        <w:rPr>
          <w:noProof/>
        </w:rPr>
        <w:lastRenderedPageBreak/>
        <w:t>4</w:t>
      </w:r>
      <w:r w:rsidRPr="004329AD">
        <w:rPr>
          <w:noProof/>
        </w:rPr>
        <w:tab/>
        <w:t xml:space="preserve">Newton, J. A., Feely, R. A., Jewett, E. B., Williamson, P. &amp; Mathis, J. Global Ocean Acidification Observing Network: Requirements and Governance Plan </w:t>
      </w:r>
      <w:hyperlink r:id="rId11" w:history="1">
        <w:r w:rsidRPr="004329AD">
          <w:rPr>
            <w:rStyle w:val="Hyperlink"/>
            <w:i/>
            <w:noProof/>
          </w:rPr>
          <w:t>http://goa-on.org/docs/GOA-ON_2nd_edition_final.pdf</w:t>
        </w:r>
      </w:hyperlink>
      <w:r w:rsidRPr="004329AD">
        <w:rPr>
          <w:noProof/>
        </w:rPr>
        <w:t>, 60 (2015).</w:t>
      </w:r>
    </w:p>
    <w:p w:rsidR="004329AD" w:rsidRPr="004329AD" w:rsidRDefault="004329AD" w:rsidP="004329AD">
      <w:pPr>
        <w:pStyle w:val="EndNoteBibliography"/>
        <w:spacing w:after="0"/>
        <w:ind w:left="720" w:hanging="720"/>
        <w:rPr>
          <w:noProof/>
        </w:rPr>
      </w:pPr>
      <w:r w:rsidRPr="004329AD">
        <w:rPr>
          <w:noProof/>
        </w:rPr>
        <w:t>5</w:t>
      </w:r>
      <w:r w:rsidRPr="004329AD">
        <w:rPr>
          <w:noProof/>
        </w:rPr>
        <w:tab/>
        <w:t>Wanninkhof, R. &amp; Thoning, K. Measurement of fugacity of CO</w:t>
      </w:r>
      <w:r w:rsidRPr="004329AD">
        <w:rPr>
          <w:noProof/>
          <w:vertAlign w:val="subscript"/>
        </w:rPr>
        <w:t>2</w:t>
      </w:r>
      <w:r w:rsidRPr="004329AD">
        <w:rPr>
          <w:noProof/>
        </w:rPr>
        <w:t xml:space="preserve"> in surface water using continuous and discrete sampling methods. </w:t>
      </w:r>
      <w:r w:rsidRPr="004329AD">
        <w:rPr>
          <w:i/>
          <w:noProof/>
        </w:rPr>
        <w:t>Marine Chemistry</w:t>
      </w:r>
      <w:r w:rsidRPr="004329AD">
        <w:rPr>
          <w:noProof/>
        </w:rPr>
        <w:t xml:space="preserve"> </w:t>
      </w:r>
      <w:r w:rsidRPr="004329AD">
        <w:rPr>
          <w:b/>
          <w:noProof/>
        </w:rPr>
        <w:t>44</w:t>
      </w:r>
      <w:r w:rsidRPr="004329AD">
        <w:rPr>
          <w:noProof/>
        </w:rPr>
        <w:t>, 189-204 (1993).</w:t>
      </w:r>
    </w:p>
    <w:p w:rsidR="004329AD" w:rsidRPr="004329AD" w:rsidRDefault="004329AD" w:rsidP="004329AD">
      <w:pPr>
        <w:pStyle w:val="EndNoteBibliography"/>
        <w:spacing w:after="0"/>
        <w:ind w:left="720" w:hanging="720"/>
        <w:rPr>
          <w:noProof/>
        </w:rPr>
      </w:pPr>
      <w:r w:rsidRPr="004329AD">
        <w:rPr>
          <w:noProof/>
        </w:rPr>
        <w:t>6</w:t>
      </w:r>
      <w:r w:rsidRPr="004329AD">
        <w:rPr>
          <w:noProof/>
        </w:rPr>
        <w:tab/>
        <w:t xml:space="preserve">Waters, J., Millero, F. J. &amp; Woosley, R. J. Corrigendum to “The free proton concentration scale for seawater pH”, [MARCHE: 149(2013) 8-22]. </w:t>
      </w:r>
      <w:r w:rsidRPr="004329AD">
        <w:rPr>
          <w:i/>
          <w:noProof/>
        </w:rPr>
        <w:t>Marine Chemistry</w:t>
      </w:r>
      <w:r w:rsidRPr="004329AD">
        <w:rPr>
          <w:noProof/>
        </w:rPr>
        <w:t xml:space="preserve"> </w:t>
      </w:r>
      <w:r w:rsidRPr="004329AD">
        <w:rPr>
          <w:b/>
          <w:noProof/>
        </w:rPr>
        <w:t>165</w:t>
      </w:r>
      <w:r w:rsidRPr="004329AD">
        <w:rPr>
          <w:noProof/>
        </w:rPr>
        <w:t>, 66-67 (2014).</w:t>
      </w:r>
    </w:p>
    <w:p w:rsidR="004329AD" w:rsidRPr="004329AD" w:rsidRDefault="004329AD" w:rsidP="004329AD">
      <w:pPr>
        <w:pStyle w:val="EndNoteBibliography"/>
        <w:spacing w:after="0"/>
        <w:ind w:left="720" w:hanging="720"/>
        <w:rPr>
          <w:noProof/>
        </w:rPr>
      </w:pPr>
      <w:r w:rsidRPr="004329AD">
        <w:rPr>
          <w:noProof/>
        </w:rPr>
        <w:t>7</w:t>
      </w:r>
      <w:r w:rsidRPr="004329AD">
        <w:rPr>
          <w:noProof/>
        </w:rPr>
        <w:tab/>
        <w:t xml:space="preserve">Dickson, A., Wesolowski, D. J., Palmer, D. A. &amp; E., M. R. Dissociation constant of bisulfate ion in aqueous sodium chloride solutions at 250 ℃. </w:t>
      </w:r>
      <w:r w:rsidRPr="004329AD">
        <w:rPr>
          <w:i/>
          <w:noProof/>
        </w:rPr>
        <w:t xml:space="preserve">Journal of Physical Chemistry </w:t>
      </w:r>
      <w:r w:rsidRPr="004329AD">
        <w:rPr>
          <w:b/>
          <w:noProof/>
        </w:rPr>
        <w:t>94</w:t>
      </w:r>
      <w:r w:rsidRPr="004329AD">
        <w:rPr>
          <w:noProof/>
        </w:rPr>
        <w:t>, 7978-7985, doi:doi: 10.1021/j100383a042 (1990).</w:t>
      </w:r>
    </w:p>
    <w:p w:rsidR="004329AD" w:rsidRPr="004329AD" w:rsidRDefault="004329AD" w:rsidP="004329AD">
      <w:pPr>
        <w:pStyle w:val="EndNoteBibliography"/>
        <w:spacing w:after="0"/>
        <w:ind w:left="720" w:hanging="720"/>
        <w:rPr>
          <w:noProof/>
        </w:rPr>
      </w:pPr>
      <w:r w:rsidRPr="004329AD">
        <w:rPr>
          <w:noProof/>
        </w:rPr>
        <w:t>8</w:t>
      </w:r>
      <w:r w:rsidRPr="004329AD">
        <w:rPr>
          <w:noProof/>
        </w:rPr>
        <w:tab/>
        <w:t xml:space="preserve">Perez, F. F. &amp; Fraga, F. Association constant of fluoride and hydrogen ions in seawater </w:t>
      </w:r>
      <w:r w:rsidRPr="004329AD">
        <w:rPr>
          <w:i/>
          <w:noProof/>
        </w:rPr>
        <w:t>Marine Chemistry</w:t>
      </w:r>
      <w:r w:rsidRPr="004329AD">
        <w:rPr>
          <w:noProof/>
        </w:rPr>
        <w:t xml:space="preserve"> </w:t>
      </w:r>
      <w:r w:rsidRPr="004329AD">
        <w:rPr>
          <w:b/>
          <w:noProof/>
        </w:rPr>
        <w:t>21</w:t>
      </w:r>
      <w:r w:rsidRPr="004329AD">
        <w:rPr>
          <w:noProof/>
        </w:rPr>
        <w:t>, 161-168 (1987).</w:t>
      </w:r>
    </w:p>
    <w:p w:rsidR="004329AD" w:rsidRPr="004329AD" w:rsidRDefault="004329AD" w:rsidP="004329AD">
      <w:pPr>
        <w:pStyle w:val="EndNoteBibliography"/>
        <w:spacing w:after="0"/>
        <w:ind w:left="720" w:hanging="720"/>
        <w:rPr>
          <w:noProof/>
        </w:rPr>
      </w:pPr>
      <w:r w:rsidRPr="004329AD">
        <w:rPr>
          <w:noProof/>
        </w:rPr>
        <w:t>9</w:t>
      </w:r>
      <w:r w:rsidRPr="004329AD">
        <w:rPr>
          <w:noProof/>
        </w:rPr>
        <w:tab/>
        <w:t xml:space="preserve">Uppström, L. R. The boron/chlorinity ratio of deep-sea water from the Pacific Ocean. </w:t>
      </w:r>
      <w:r w:rsidRPr="004329AD">
        <w:rPr>
          <w:i/>
          <w:noProof/>
        </w:rPr>
        <w:t>Deep-Sea Research and Oceanographic Abstracts</w:t>
      </w:r>
      <w:r w:rsidRPr="004329AD">
        <w:rPr>
          <w:noProof/>
        </w:rPr>
        <w:t xml:space="preserve"> </w:t>
      </w:r>
      <w:r w:rsidRPr="004329AD">
        <w:rPr>
          <w:b/>
          <w:noProof/>
        </w:rPr>
        <w:t>21</w:t>
      </w:r>
      <w:r w:rsidRPr="004329AD">
        <w:rPr>
          <w:noProof/>
        </w:rPr>
        <w:t>, 161-162, doi:doi: 10.1016/0011-7471(74)90074-6 (1974).</w:t>
      </w:r>
    </w:p>
    <w:p w:rsidR="004329AD" w:rsidRPr="004329AD" w:rsidRDefault="004329AD" w:rsidP="004329AD">
      <w:pPr>
        <w:pStyle w:val="EndNoteBibliography"/>
        <w:spacing w:after="0"/>
        <w:ind w:left="720" w:hanging="720"/>
        <w:rPr>
          <w:noProof/>
        </w:rPr>
      </w:pPr>
      <w:r w:rsidRPr="004329AD">
        <w:rPr>
          <w:noProof/>
        </w:rPr>
        <w:t>10</w:t>
      </w:r>
      <w:r w:rsidRPr="004329AD">
        <w:rPr>
          <w:noProof/>
        </w:rPr>
        <w:tab/>
        <w:t>Sharp, J. D.</w:t>
      </w:r>
      <w:r w:rsidRPr="004329AD">
        <w:rPr>
          <w:i/>
          <w:noProof/>
        </w:rPr>
        <w:t xml:space="preserve"> et al.</w:t>
      </w:r>
      <w:r w:rsidRPr="004329AD">
        <w:rPr>
          <w:noProof/>
        </w:rPr>
        <w:t xml:space="preserve"> CO2SYSv3 for MATLAB (Version v3.2.0). </w:t>
      </w:r>
      <w:r w:rsidRPr="004329AD">
        <w:rPr>
          <w:i/>
          <w:noProof/>
        </w:rPr>
        <w:t>Zenodo</w:t>
      </w:r>
      <w:r w:rsidRPr="004329AD">
        <w:rPr>
          <w:noProof/>
        </w:rPr>
        <w:t xml:space="preserve">, </w:t>
      </w:r>
      <w:hyperlink r:id="rId12" w:history="1">
        <w:r w:rsidRPr="004329AD">
          <w:rPr>
            <w:rStyle w:val="Hyperlink"/>
            <w:noProof/>
          </w:rPr>
          <w:t>http://doi.org/10.5281/zenodo.3950562</w:t>
        </w:r>
      </w:hyperlink>
      <w:r w:rsidRPr="004329AD">
        <w:rPr>
          <w:noProof/>
        </w:rPr>
        <w:t xml:space="preserve"> (2021).</w:t>
      </w:r>
    </w:p>
    <w:p w:rsidR="004329AD" w:rsidRPr="004329AD" w:rsidRDefault="004329AD" w:rsidP="004329AD">
      <w:pPr>
        <w:pStyle w:val="EndNoteBibliography"/>
        <w:spacing w:after="0"/>
        <w:ind w:left="720" w:hanging="720"/>
        <w:rPr>
          <w:noProof/>
        </w:rPr>
      </w:pPr>
      <w:r w:rsidRPr="004329AD">
        <w:rPr>
          <w:noProof/>
        </w:rPr>
        <w:t>11</w:t>
      </w:r>
      <w:r w:rsidRPr="004329AD">
        <w:rPr>
          <w:noProof/>
        </w:rPr>
        <w:tab/>
        <w:t xml:space="preserve">Orr, J. C., Epitalon, J.-M., Dickson, A. G. &amp; Gattuso, J.-P. Routine uncertainty propagation for the marine carbon dioxide system. </w:t>
      </w:r>
      <w:r w:rsidRPr="004329AD">
        <w:rPr>
          <w:i/>
          <w:noProof/>
        </w:rPr>
        <w:t>Marine Chemistry</w:t>
      </w:r>
      <w:r w:rsidRPr="004329AD">
        <w:rPr>
          <w:noProof/>
        </w:rPr>
        <w:t xml:space="preserve"> </w:t>
      </w:r>
      <w:r w:rsidRPr="004329AD">
        <w:rPr>
          <w:b/>
          <w:noProof/>
        </w:rPr>
        <w:t>207</w:t>
      </w:r>
      <w:r w:rsidRPr="004329AD">
        <w:rPr>
          <w:noProof/>
        </w:rPr>
        <w:t>, 84-107, doi:10.1016/j.marchem.2018.10.006 (2018).</w:t>
      </w:r>
    </w:p>
    <w:p w:rsidR="004329AD" w:rsidRPr="004329AD" w:rsidRDefault="004329AD" w:rsidP="004329AD">
      <w:pPr>
        <w:pStyle w:val="EndNoteBibliography"/>
        <w:spacing w:after="0"/>
        <w:ind w:left="720" w:hanging="720"/>
        <w:rPr>
          <w:noProof/>
        </w:rPr>
      </w:pPr>
      <w:r w:rsidRPr="004329AD">
        <w:rPr>
          <w:noProof/>
        </w:rPr>
        <w:t>12</w:t>
      </w:r>
      <w:r w:rsidRPr="004329AD">
        <w:rPr>
          <w:noProof/>
        </w:rPr>
        <w:tab/>
        <w:t xml:space="preserve">Hales, B., Suhrbier, A., Waldbusser, G. G., Feely, R. A. &amp; Newton, J. A. The Carbonate Chemistry of the "Fattening Line," Willapa Bay, 2011-2014. </w:t>
      </w:r>
      <w:r w:rsidRPr="004329AD">
        <w:rPr>
          <w:i/>
          <w:noProof/>
        </w:rPr>
        <w:t>Estuaries and Coasts</w:t>
      </w:r>
      <w:r w:rsidRPr="004329AD">
        <w:rPr>
          <w:noProof/>
        </w:rPr>
        <w:t>, DOI 10.1007/s12237-12016-10136-12237 (2016).</w:t>
      </w:r>
    </w:p>
    <w:p w:rsidR="004329AD" w:rsidRPr="004329AD" w:rsidRDefault="004329AD" w:rsidP="004329AD">
      <w:pPr>
        <w:pStyle w:val="EndNoteBibliography"/>
        <w:ind w:left="720" w:hanging="720"/>
        <w:rPr>
          <w:noProof/>
        </w:rPr>
      </w:pPr>
      <w:r w:rsidRPr="004329AD">
        <w:rPr>
          <w:noProof/>
        </w:rPr>
        <w:t>13</w:t>
      </w:r>
      <w:r w:rsidRPr="004329AD">
        <w:rPr>
          <w:noProof/>
        </w:rPr>
        <w:tab/>
        <w:t xml:space="preserve">Dillon, W. D. N., Dillingham, P. W., Currie, K. I. &amp; McGraw, C. M. Inclusion of uncertainty in the calcium-salinity relationships improves estimates of ocean acidification monitoring data quality. </w:t>
      </w:r>
      <w:r w:rsidRPr="004329AD">
        <w:rPr>
          <w:i/>
          <w:noProof/>
        </w:rPr>
        <w:t>Marine Chemistry</w:t>
      </w:r>
      <w:r w:rsidRPr="004329AD">
        <w:rPr>
          <w:noProof/>
        </w:rPr>
        <w:t xml:space="preserve"> </w:t>
      </w:r>
      <w:r w:rsidRPr="004329AD">
        <w:rPr>
          <w:b/>
          <w:noProof/>
        </w:rPr>
        <w:t>226</w:t>
      </w:r>
      <w:r w:rsidRPr="004329AD">
        <w:rPr>
          <w:noProof/>
        </w:rPr>
        <w:t>, 103872 (2020).</w:t>
      </w:r>
    </w:p>
    <w:p w:rsidR="00134CC4" w:rsidRPr="00AB4C9C" w:rsidRDefault="00F659DC" w:rsidP="00AB4C9C">
      <w:r>
        <w:fldChar w:fldCharType="end"/>
      </w:r>
    </w:p>
    <w:sectPr w:rsidR="00134CC4" w:rsidRPr="00AB4C9C" w:rsidSect="00E44880">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1F79" w:rsidRDefault="009C1F79" w:rsidP="00603086">
      <w:r>
        <w:separator/>
      </w:r>
    </w:p>
  </w:endnote>
  <w:endnote w:type="continuationSeparator" w:id="0">
    <w:p w:rsidR="009C1F79" w:rsidRDefault="009C1F79" w:rsidP="00603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1F79" w:rsidRDefault="009C1F79" w:rsidP="00603086">
      <w:r>
        <w:separator/>
      </w:r>
    </w:p>
  </w:footnote>
  <w:footnote w:type="continuationSeparator" w:id="0">
    <w:p w:rsidR="009C1F79" w:rsidRDefault="009C1F79" w:rsidP="00603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3086" w:rsidRPr="00603086" w:rsidRDefault="00603086" w:rsidP="00603086">
    <w:pPr>
      <w:pStyle w:val="Header"/>
      <w:jc w:val="center"/>
      <w:rPr>
        <w:b w:val="0"/>
        <w:bCs/>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E4107"/>
    <w:multiLevelType w:val="hybridMultilevel"/>
    <w:tmpl w:val="1972B3DA"/>
    <w:lvl w:ilvl="0" w:tplc="54664E3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1135"/>
        </w:tabs>
        <w:ind w:left="1135"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5"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02A7CAC"/>
    <w:multiLevelType w:val="multilevel"/>
    <w:tmpl w:val="C6A8CCEA"/>
    <w:numStyleLink w:val="Headings"/>
  </w:abstractNum>
  <w:abstractNum w:abstractNumId="7" w15:restartNumberingAfterBreak="0">
    <w:nsid w:val="30607DB8"/>
    <w:multiLevelType w:val="hybridMultilevel"/>
    <w:tmpl w:val="9BC6A0F2"/>
    <w:lvl w:ilvl="0" w:tplc="588A2A20">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83612E"/>
    <w:multiLevelType w:val="hybridMultilevel"/>
    <w:tmpl w:val="6090D058"/>
    <w:lvl w:ilvl="0" w:tplc="344A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F46337"/>
    <w:multiLevelType w:val="hybridMultilevel"/>
    <w:tmpl w:val="09322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C6F29"/>
    <w:multiLevelType w:val="multilevel"/>
    <w:tmpl w:val="C6A8CCEA"/>
    <w:numStyleLink w:val="Headings"/>
  </w:abstractNum>
  <w:abstractNum w:abstractNumId="21"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6"/>
  </w:num>
  <w:num w:numId="3" w16cid:durableId="1144352800">
    <w:abstractNumId w:val="2"/>
  </w:num>
  <w:num w:numId="4" w16cid:durableId="769737119">
    <w:abstractNumId w:val="19"/>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2"/>
  </w:num>
  <w:num w:numId="7" w16cid:durableId="773479634">
    <w:abstractNumId w:val="10"/>
  </w:num>
  <w:num w:numId="8" w16cid:durableId="2072000685">
    <w:abstractNumId w:val="8"/>
  </w:num>
  <w:num w:numId="9" w16cid:durableId="1213807494">
    <w:abstractNumId w:val="11"/>
  </w:num>
  <w:num w:numId="10" w16cid:durableId="308825289">
    <w:abstractNumId w:val="9"/>
  </w:num>
  <w:num w:numId="11" w16cid:durableId="372848954">
    <w:abstractNumId w:val="3"/>
  </w:num>
  <w:num w:numId="12" w16cid:durableId="213006365">
    <w:abstractNumId w:val="21"/>
  </w:num>
  <w:num w:numId="13" w16cid:durableId="1411196366">
    <w:abstractNumId w:val="14"/>
  </w:num>
  <w:num w:numId="14" w16cid:durableId="944966812">
    <w:abstractNumId w:val="5"/>
  </w:num>
  <w:num w:numId="15" w16cid:durableId="1662200756">
    <w:abstractNumId w:val="13"/>
  </w:num>
  <w:num w:numId="16" w16cid:durableId="2141485750">
    <w:abstractNumId w:val="18"/>
  </w:num>
  <w:num w:numId="17" w16cid:durableId="2002923295">
    <w:abstractNumId w:val="4"/>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3120"/>
          </w:tabs>
          <w:ind w:left="3120" w:hanging="567"/>
        </w:pPr>
        <w:rPr>
          <w:rFonts w:hint="default"/>
        </w:rPr>
      </w:lvl>
    </w:lvlOverride>
  </w:num>
  <w:num w:numId="18" w16cid:durableId="13005275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6"/>
  </w:num>
  <w:num w:numId="20" w16cid:durableId="58940097">
    <w:abstractNumId w:val="20"/>
  </w:num>
  <w:num w:numId="21" w16cid:durableId="490292411">
    <w:abstractNumId w:val="4"/>
  </w:num>
  <w:num w:numId="22" w16cid:durableId="1120419941">
    <w:abstractNumId w:val="4"/>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96143096">
    <w:abstractNumId w:val="15"/>
  </w:num>
  <w:num w:numId="24" w16cid:durableId="1194617884">
    <w:abstractNumId w:val="1"/>
  </w:num>
  <w:num w:numId="25" w16cid:durableId="1162157941">
    <w:abstractNumId w:val="7"/>
  </w:num>
  <w:num w:numId="26" w16cid:durableId="8163367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50ea2scwf59ee9928pe0ag9xtwvetfftpd&quot;&gt;Wiley&amp;apos;s_endnote_library_06162020&lt;record-ids&gt;&lt;item&gt;704&lt;/item&gt;&lt;item&gt;736&lt;/item&gt;&lt;item&gt;737&lt;/item&gt;&lt;item&gt;778&lt;/item&gt;&lt;item&gt;782&lt;/item&gt;&lt;item&gt;861&lt;/item&gt;&lt;item&gt;862&lt;/item&gt;&lt;item&gt;882&lt;/item&gt;&lt;item&gt;884&lt;/item&gt;&lt;item&gt;892&lt;/item&gt;&lt;item&gt;906&lt;/item&gt;&lt;item&gt;1508&lt;/item&gt;&lt;item&gt;1537&lt;/item&gt;&lt;/record-ids&gt;&lt;/item&gt;&lt;/Libraries&gt;"/>
  </w:docVars>
  <w:rsids>
    <w:rsidRoot w:val="00D7771E"/>
    <w:rsid w:val="00013DAC"/>
    <w:rsid w:val="000433AA"/>
    <w:rsid w:val="0005260C"/>
    <w:rsid w:val="00071AA1"/>
    <w:rsid w:val="00074ED9"/>
    <w:rsid w:val="000962F3"/>
    <w:rsid w:val="000B358D"/>
    <w:rsid w:val="000C5059"/>
    <w:rsid w:val="000C6713"/>
    <w:rsid w:val="000D30E8"/>
    <w:rsid w:val="000F0B73"/>
    <w:rsid w:val="000F397A"/>
    <w:rsid w:val="000F5D5B"/>
    <w:rsid w:val="001009E3"/>
    <w:rsid w:val="00116896"/>
    <w:rsid w:val="0012209A"/>
    <w:rsid w:val="00134CC4"/>
    <w:rsid w:val="001702CB"/>
    <w:rsid w:val="00183A9E"/>
    <w:rsid w:val="00184ACB"/>
    <w:rsid w:val="00196CE7"/>
    <w:rsid w:val="001A45F0"/>
    <w:rsid w:val="001B73F7"/>
    <w:rsid w:val="001C50F1"/>
    <w:rsid w:val="00254900"/>
    <w:rsid w:val="00261D39"/>
    <w:rsid w:val="00264C8F"/>
    <w:rsid w:val="0027004F"/>
    <w:rsid w:val="00292A68"/>
    <w:rsid w:val="002B5B8D"/>
    <w:rsid w:val="002C6460"/>
    <w:rsid w:val="002D0448"/>
    <w:rsid w:val="002D203D"/>
    <w:rsid w:val="002E0607"/>
    <w:rsid w:val="00311490"/>
    <w:rsid w:val="00334BE3"/>
    <w:rsid w:val="003653FD"/>
    <w:rsid w:val="00375E50"/>
    <w:rsid w:val="003C5174"/>
    <w:rsid w:val="003F2D5A"/>
    <w:rsid w:val="003F658D"/>
    <w:rsid w:val="004114D3"/>
    <w:rsid w:val="004329AD"/>
    <w:rsid w:val="0043678D"/>
    <w:rsid w:val="00440749"/>
    <w:rsid w:val="004A2744"/>
    <w:rsid w:val="004B4375"/>
    <w:rsid w:val="004B517C"/>
    <w:rsid w:val="004D2CDE"/>
    <w:rsid w:val="004D3F00"/>
    <w:rsid w:val="004F029E"/>
    <w:rsid w:val="005063C3"/>
    <w:rsid w:val="00526799"/>
    <w:rsid w:val="0055104D"/>
    <w:rsid w:val="00552E44"/>
    <w:rsid w:val="00556F5D"/>
    <w:rsid w:val="00585A5D"/>
    <w:rsid w:val="005A2F5F"/>
    <w:rsid w:val="005A5D2A"/>
    <w:rsid w:val="005B481E"/>
    <w:rsid w:val="00603086"/>
    <w:rsid w:val="00613352"/>
    <w:rsid w:val="006423F0"/>
    <w:rsid w:val="0064386D"/>
    <w:rsid w:val="00682C2A"/>
    <w:rsid w:val="006869EB"/>
    <w:rsid w:val="00696D92"/>
    <w:rsid w:val="006B12C2"/>
    <w:rsid w:val="006F0515"/>
    <w:rsid w:val="006F648A"/>
    <w:rsid w:val="007643CF"/>
    <w:rsid w:val="00793DB8"/>
    <w:rsid w:val="00794DC4"/>
    <w:rsid w:val="007B7D3B"/>
    <w:rsid w:val="007C4602"/>
    <w:rsid w:val="007D16B3"/>
    <w:rsid w:val="00812235"/>
    <w:rsid w:val="0086035A"/>
    <w:rsid w:val="00885EDE"/>
    <w:rsid w:val="008C3C7B"/>
    <w:rsid w:val="0091495E"/>
    <w:rsid w:val="00914FF5"/>
    <w:rsid w:val="009351EE"/>
    <w:rsid w:val="00950103"/>
    <w:rsid w:val="00977A0D"/>
    <w:rsid w:val="009C1F79"/>
    <w:rsid w:val="009C5BF8"/>
    <w:rsid w:val="009D4A0D"/>
    <w:rsid w:val="00A01C7B"/>
    <w:rsid w:val="00A02AE0"/>
    <w:rsid w:val="00A201B8"/>
    <w:rsid w:val="00A51C18"/>
    <w:rsid w:val="00A53517"/>
    <w:rsid w:val="00A53FA1"/>
    <w:rsid w:val="00A9411F"/>
    <w:rsid w:val="00AB23EA"/>
    <w:rsid w:val="00AB4C9C"/>
    <w:rsid w:val="00AD5C65"/>
    <w:rsid w:val="00B034DE"/>
    <w:rsid w:val="00B2141B"/>
    <w:rsid w:val="00B26D19"/>
    <w:rsid w:val="00B31A94"/>
    <w:rsid w:val="00B34614"/>
    <w:rsid w:val="00B34AF2"/>
    <w:rsid w:val="00B373F5"/>
    <w:rsid w:val="00B62E21"/>
    <w:rsid w:val="00B76826"/>
    <w:rsid w:val="00B76EC1"/>
    <w:rsid w:val="00BB1B40"/>
    <w:rsid w:val="00BF1010"/>
    <w:rsid w:val="00BF7A8D"/>
    <w:rsid w:val="00C14B55"/>
    <w:rsid w:val="00C208C4"/>
    <w:rsid w:val="00C60B86"/>
    <w:rsid w:val="00C822DC"/>
    <w:rsid w:val="00CD23BC"/>
    <w:rsid w:val="00D12B53"/>
    <w:rsid w:val="00D2293D"/>
    <w:rsid w:val="00D24F9A"/>
    <w:rsid w:val="00D406F6"/>
    <w:rsid w:val="00D55E36"/>
    <w:rsid w:val="00D76F5E"/>
    <w:rsid w:val="00D7771E"/>
    <w:rsid w:val="00DA771D"/>
    <w:rsid w:val="00DB35D6"/>
    <w:rsid w:val="00DC189F"/>
    <w:rsid w:val="00DC336F"/>
    <w:rsid w:val="00DC3576"/>
    <w:rsid w:val="00DD5C82"/>
    <w:rsid w:val="00E34382"/>
    <w:rsid w:val="00E44880"/>
    <w:rsid w:val="00E60E02"/>
    <w:rsid w:val="00E7622D"/>
    <w:rsid w:val="00E8061E"/>
    <w:rsid w:val="00E9513B"/>
    <w:rsid w:val="00EA6CBB"/>
    <w:rsid w:val="00ED593C"/>
    <w:rsid w:val="00ED642C"/>
    <w:rsid w:val="00EE35F5"/>
    <w:rsid w:val="00F13FAA"/>
    <w:rsid w:val="00F659DC"/>
    <w:rsid w:val="00FB6176"/>
    <w:rsid w:val="00FD41E6"/>
    <w:rsid w:val="00FE23F4"/>
    <w:rsid w:val="00FE40F1"/>
    <w:rsid w:val="00FE4AE4"/>
    <w:rsid w:val="00FE7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FE80B"/>
  <w15:chartTrackingRefBased/>
  <w15:docId w15:val="{A075AC3D-F446-0440-9516-D1264CEE0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1E"/>
    <w:rPr>
      <w:rFonts w:ascii="Times New Roman" w:eastAsia="Times New Roman" w:hAnsi="Times New Roman" w:cs="Times New Roman"/>
      <w:kern w:val="0"/>
      <w14:ligatures w14:val="none"/>
    </w:rPr>
  </w:style>
  <w:style w:type="paragraph" w:styleId="Heading1">
    <w:name w:val="heading 1"/>
    <w:basedOn w:val="ListParagraph"/>
    <w:next w:val="Normal"/>
    <w:link w:val="Heading1Char"/>
    <w:uiPriority w:val="2"/>
    <w:qFormat/>
    <w:rsid w:val="00D7771E"/>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7771E"/>
    <w:pPr>
      <w:numPr>
        <w:ilvl w:val="1"/>
      </w:numPr>
      <w:tabs>
        <w:tab w:val="clear" w:pos="3120"/>
        <w:tab w:val="num" w:pos="567"/>
      </w:tabs>
      <w:spacing w:after="200"/>
      <w:ind w:left="567"/>
      <w:outlineLvl w:val="1"/>
    </w:pPr>
  </w:style>
  <w:style w:type="paragraph" w:styleId="Heading3">
    <w:name w:val="heading 3"/>
    <w:basedOn w:val="Normal"/>
    <w:next w:val="Normal"/>
    <w:link w:val="Heading3Char"/>
    <w:uiPriority w:val="2"/>
    <w:qFormat/>
    <w:rsid w:val="00D7771E"/>
    <w:pPr>
      <w:keepNext/>
      <w:keepLines/>
      <w:numPr>
        <w:ilvl w:val="2"/>
        <w:numId w:val="17"/>
      </w:numPr>
      <w:tabs>
        <w:tab w:val="clear" w:pos="1135"/>
        <w:tab w:val="num" w:pos="567"/>
      </w:tabs>
      <w:spacing w:before="40" w:after="120"/>
      <w:ind w:left="567"/>
      <w:outlineLvl w:val="2"/>
    </w:pPr>
    <w:rPr>
      <w:rFonts w:eastAsiaTheme="majorEastAsia" w:cstheme="majorBidi"/>
      <w:b/>
      <w:lang w:val="en-US"/>
    </w:rPr>
  </w:style>
  <w:style w:type="paragraph" w:styleId="Heading4">
    <w:name w:val="heading 4"/>
    <w:basedOn w:val="Heading3"/>
    <w:next w:val="Normal"/>
    <w:link w:val="Heading4Char"/>
    <w:uiPriority w:val="2"/>
    <w:qFormat/>
    <w:rsid w:val="00D7771E"/>
    <w:pPr>
      <w:numPr>
        <w:ilvl w:val="3"/>
      </w:numPr>
      <w:outlineLvl w:val="3"/>
    </w:pPr>
    <w:rPr>
      <w:iCs/>
    </w:rPr>
  </w:style>
  <w:style w:type="paragraph" w:styleId="Heading5">
    <w:name w:val="heading 5"/>
    <w:basedOn w:val="Heading4"/>
    <w:next w:val="Normal"/>
    <w:link w:val="Heading5Char"/>
    <w:uiPriority w:val="2"/>
    <w:qFormat/>
    <w:rsid w:val="00D7771E"/>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D7771E"/>
    <w:rPr>
      <w:rFonts w:ascii="Times New Roman" w:eastAsia="Cambria" w:hAnsi="Times New Roman" w:cs="Times New Roman"/>
      <w:b/>
      <w:kern w:val="0"/>
      <w:lang w:val="en-US"/>
      <w14:ligatures w14:val="none"/>
    </w:rPr>
  </w:style>
  <w:style w:type="character" w:customStyle="1" w:styleId="Heading2Char">
    <w:name w:val="Heading 2 Char"/>
    <w:basedOn w:val="DefaultParagraphFont"/>
    <w:link w:val="Heading2"/>
    <w:uiPriority w:val="2"/>
    <w:rsid w:val="00D7771E"/>
    <w:rPr>
      <w:rFonts w:ascii="Times New Roman" w:eastAsia="Cambria" w:hAnsi="Times New Roman" w:cs="Times New Roman"/>
      <w:b/>
      <w:kern w:val="0"/>
      <w:lang w:val="en-US"/>
      <w14:ligatures w14:val="none"/>
    </w:rPr>
  </w:style>
  <w:style w:type="character" w:customStyle="1" w:styleId="Heading3Char">
    <w:name w:val="Heading 3 Char"/>
    <w:basedOn w:val="DefaultParagraphFont"/>
    <w:link w:val="Heading3"/>
    <w:uiPriority w:val="2"/>
    <w:rsid w:val="00D7771E"/>
    <w:rPr>
      <w:rFonts w:ascii="Times New Roman" w:eastAsiaTheme="majorEastAsia" w:hAnsi="Times New Roman" w:cstheme="majorBidi"/>
      <w:b/>
      <w:kern w:val="0"/>
      <w:lang w:val="en-US"/>
      <w14:ligatures w14:val="none"/>
    </w:rPr>
  </w:style>
  <w:style w:type="character" w:customStyle="1" w:styleId="Heading4Char">
    <w:name w:val="Heading 4 Char"/>
    <w:basedOn w:val="DefaultParagraphFont"/>
    <w:link w:val="Heading4"/>
    <w:uiPriority w:val="2"/>
    <w:rsid w:val="00D7771E"/>
    <w:rPr>
      <w:rFonts w:ascii="Times New Roman" w:eastAsiaTheme="majorEastAsia" w:hAnsi="Times New Roman" w:cstheme="majorBidi"/>
      <w:b/>
      <w:iCs/>
      <w:kern w:val="0"/>
      <w:lang w:val="en-US"/>
      <w14:ligatures w14:val="none"/>
    </w:rPr>
  </w:style>
  <w:style w:type="character" w:customStyle="1" w:styleId="Heading5Char">
    <w:name w:val="Heading 5 Char"/>
    <w:basedOn w:val="DefaultParagraphFont"/>
    <w:link w:val="Heading5"/>
    <w:uiPriority w:val="2"/>
    <w:rsid w:val="00D7771E"/>
    <w:rPr>
      <w:rFonts w:ascii="Times New Roman" w:eastAsiaTheme="majorEastAsia" w:hAnsi="Times New Roman" w:cstheme="majorBidi"/>
      <w:b/>
      <w:iCs/>
      <w:kern w:val="0"/>
      <w:lang w:val="en-US"/>
      <w14:ligatures w14:val="none"/>
    </w:rPr>
  </w:style>
  <w:style w:type="character" w:styleId="Emphasis">
    <w:name w:val="Emphasis"/>
    <w:basedOn w:val="DefaultParagraphFont"/>
    <w:uiPriority w:val="20"/>
    <w:qFormat/>
    <w:rsid w:val="00D7771E"/>
    <w:rPr>
      <w:rFonts w:ascii="Times New Roman" w:hAnsi="Times New Roman"/>
      <w:i/>
      <w:iCs/>
    </w:rPr>
  </w:style>
  <w:style w:type="paragraph" w:styleId="ListParagraph">
    <w:name w:val="List Paragraph"/>
    <w:basedOn w:val="Normal"/>
    <w:uiPriority w:val="34"/>
    <w:qFormat/>
    <w:rsid w:val="00D7771E"/>
    <w:pPr>
      <w:numPr>
        <w:numId w:val="14"/>
      </w:numPr>
      <w:spacing w:before="120" w:after="240"/>
      <w:ind w:left="1434" w:hanging="357"/>
      <w:contextualSpacing/>
    </w:pPr>
    <w:rPr>
      <w:rFonts w:eastAsia="Cambria"/>
      <w:lang w:val="en-US"/>
    </w:rPr>
  </w:style>
  <w:style w:type="character" w:styleId="Strong">
    <w:name w:val="Strong"/>
    <w:basedOn w:val="DefaultParagraphFont"/>
    <w:uiPriority w:val="22"/>
    <w:qFormat/>
    <w:rsid w:val="00D7771E"/>
    <w:rPr>
      <w:rFonts w:ascii="Times New Roman" w:hAnsi="Times New Roman"/>
      <w:b/>
      <w:bCs/>
    </w:rPr>
  </w:style>
  <w:style w:type="paragraph" w:styleId="NormalWeb">
    <w:name w:val="Normal (Web)"/>
    <w:basedOn w:val="Normal"/>
    <w:uiPriority w:val="99"/>
    <w:unhideWhenUsed/>
    <w:rsid w:val="00D7771E"/>
    <w:pPr>
      <w:spacing w:before="100" w:beforeAutospacing="1" w:after="100" w:afterAutospacing="1"/>
    </w:pPr>
    <w:rPr>
      <w:lang w:val="en-US"/>
    </w:rPr>
  </w:style>
  <w:style w:type="paragraph" w:styleId="Header">
    <w:name w:val="header"/>
    <w:basedOn w:val="Normal"/>
    <w:link w:val="HeaderChar"/>
    <w:uiPriority w:val="99"/>
    <w:unhideWhenUsed/>
    <w:rsid w:val="00D7771E"/>
    <w:pPr>
      <w:tabs>
        <w:tab w:val="center" w:pos="4844"/>
        <w:tab w:val="right" w:pos="9689"/>
      </w:tabs>
      <w:spacing w:before="120" w:after="240"/>
    </w:pPr>
    <w:rPr>
      <w:rFonts w:eastAsiaTheme="minorHAnsi" w:cstheme="minorBidi"/>
      <w:b/>
      <w:szCs w:val="22"/>
      <w:lang w:val="en-US"/>
    </w:rPr>
  </w:style>
  <w:style w:type="character" w:customStyle="1" w:styleId="HeaderChar">
    <w:name w:val="Header Char"/>
    <w:basedOn w:val="DefaultParagraphFont"/>
    <w:link w:val="Header"/>
    <w:uiPriority w:val="99"/>
    <w:rsid w:val="00D7771E"/>
    <w:rPr>
      <w:rFonts w:ascii="Times New Roman" w:hAnsi="Times New Roman"/>
      <w:b/>
      <w:kern w:val="0"/>
      <w:szCs w:val="22"/>
      <w:lang w:val="en-US"/>
      <w14:ligatures w14:val="none"/>
    </w:rPr>
  </w:style>
  <w:style w:type="paragraph" w:styleId="Footer">
    <w:name w:val="footer"/>
    <w:basedOn w:val="Normal"/>
    <w:link w:val="FooterChar"/>
    <w:uiPriority w:val="99"/>
    <w:unhideWhenUsed/>
    <w:rsid w:val="00D7771E"/>
    <w:pPr>
      <w:tabs>
        <w:tab w:val="center" w:pos="4844"/>
        <w:tab w:val="right" w:pos="9689"/>
      </w:tabs>
      <w:spacing w:before="120"/>
    </w:pPr>
    <w:rPr>
      <w:rFonts w:eastAsiaTheme="minorHAnsi" w:cstheme="minorBidi"/>
      <w:szCs w:val="22"/>
      <w:lang w:val="en-US"/>
    </w:rPr>
  </w:style>
  <w:style w:type="character" w:customStyle="1" w:styleId="FooterChar">
    <w:name w:val="Footer Char"/>
    <w:basedOn w:val="DefaultParagraphFont"/>
    <w:link w:val="Footer"/>
    <w:uiPriority w:val="99"/>
    <w:rsid w:val="00D7771E"/>
    <w:rPr>
      <w:rFonts w:ascii="Times New Roman" w:hAnsi="Times New Roman"/>
      <w:kern w:val="0"/>
      <w:szCs w:val="22"/>
      <w:lang w:val="en-US"/>
      <w14:ligatures w14:val="none"/>
    </w:rPr>
  </w:style>
  <w:style w:type="table" w:styleId="TableGrid">
    <w:name w:val="Table Grid"/>
    <w:basedOn w:val="TableNormal"/>
    <w:uiPriority w:val="59"/>
    <w:rsid w:val="00D7771E"/>
    <w:rPr>
      <w:rFonts w:asciiTheme="majorHAnsi" w:hAnsiTheme="majorHAnsi"/>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7771E"/>
    <w:pPr>
      <w:spacing w:before="120"/>
    </w:pPr>
    <w:rPr>
      <w:rFonts w:eastAsiaTheme="minorHAnsi" w:cstheme="minorBidi"/>
      <w:sz w:val="20"/>
      <w:szCs w:val="20"/>
      <w:lang w:val="en-US"/>
    </w:rPr>
  </w:style>
  <w:style w:type="character" w:customStyle="1" w:styleId="FootnoteTextChar">
    <w:name w:val="Footnote Text Char"/>
    <w:basedOn w:val="DefaultParagraphFont"/>
    <w:link w:val="FootnoteText"/>
    <w:uiPriority w:val="99"/>
    <w:semiHidden/>
    <w:rsid w:val="00D7771E"/>
    <w:rPr>
      <w:rFonts w:ascii="Times New Roman" w:hAnsi="Times New Roman"/>
      <w:kern w:val="0"/>
      <w:sz w:val="20"/>
      <w:szCs w:val="20"/>
      <w:lang w:val="en-US"/>
      <w14:ligatures w14:val="none"/>
    </w:rPr>
  </w:style>
  <w:style w:type="character" w:styleId="FootnoteReference">
    <w:name w:val="footnote reference"/>
    <w:basedOn w:val="DefaultParagraphFont"/>
    <w:uiPriority w:val="99"/>
    <w:semiHidden/>
    <w:unhideWhenUsed/>
    <w:rsid w:val="00D7771E"/>
    <w:rPr>
      <w:vertAlign w:val="superscript"/>
    </w:rPr>
  </w:style>
  <w:style w:type="paragraph" w:styleId="Caption">
    <w:name w:val="caption"/>
    <w:basedOn w:val="Normal"/>
    <w:next w:val="NoSpacing"/>
    <w:uiPriority w:val="35"/>
    <w:unhideWhenUsed/>
    <w:qFormat/>
    <w:rsid w:val="00D7771E"/>
    <w:pPr>
      <w:keepNext/>
      <w:spacing w:before="120" w:after="240"/>
    </w:pPr>
    <w:rPr>
      <w:rFonts w:eastAsiaTheme="minorHAnsi"/>
      <w:b/>
      <w:bCs/>
      <w:lang w:val="en-US"/>
    </w:rPr>
  </w:style>
  <w:style w:type="paragraph" w:styleId="BalloonText">
    <w:name w:val="Balloon Text"/>
    <w:basedOn w:val="Normal"/>
    <w:link w:val="BalloonTextChar"/>
    <w:uiPriority w:val="99"/>
    <w:semiHidden/>
    <w:unhideWhenUsed/>
    <w:rsid w:val="00D7771E"/>
    <w:pPr>
      <w:spacing w:before="120"/>
    </w:pPr>
    <w:rPr>
      <w:rFonts w:ascii="Tahoma" w:eastAsiaTheme="minorHAnsi" w:hAnsi="Tahoma" w:cs="Tahoma"/>
      <w:sz w:val="16"/>
      <w:szCs w:val="16"/>
      <w:lang w:val="en-US"/>
    </w:rPr>
  </w:style>
  <w:style w:type="character" w:customStyle="1" w:styleId="BalloonTextChar">
    <w:name w:val="Balloon Text Char"/>
    <w:basedOn w:val="DefaultParagraphFont"/>
    <w:link w:val="BalloonText"/>
    <w:uiPriority w:val="99"/>
    <w:semiHidden/>
    <w:rsid w:val="00D7771E"/>
    <w:rPr>
      <w:rFonts w:ascii="Tahoma" w:hAnsi="Tahoma" w:cs="Tahoma"/>
      <w:kern w:val="0"/>
      <w:sz w:val="16"/>
      <w:szCs w:val="16"/>
      <w:lang w:val="en-US"/>
      <w14:ligatures w14:val="none"/>
    </w:rPr>
  </w:style>
  <w:style w:type="character" w:styleId="LineNumber">
    <w:name w:val="line number"/>
    <w:basedOn w:val="DefaultParagraphFont"/>
    <w:uiPriority w:val="99"/>
    <w:semiHidden/>
    <w:unhideWhenUsed/>
    <w:rsid w:val="00D7771E"/>
  </w:style>
  <w:style w:type="paragraph" w:styleId="EndnoteText">
    <w:name w:val="endnote text"/>
    <w:basedOn w:val="Normal"/>
    <w:link w:val="EndnoteTextChar"/>
    <w:uiPriority w:val="99"/>
    <w:semiHidden/>
    <w:unhideWhenUsed/>
    <w:rsid w:val="00D7771E"/>
    <w:pPr>
      <w:spacing w:before="120"/>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D7771E"/>
    <w:rPr>
      <w:rFonts w:ascii="Times New Roman" w:hAnsi="Times New Roman"/>
      <w:kern w:val="0"/>
      <w:sz w:val="20"/>
      <w:szCs w:val="20"/>
      <w:lang w:val="en-US"/>
      <w14:ligatures w14:val="none"/>
    </w:rPr>
  </w:style>
  <w:style w:type="character" w:styleId="EndnoteReference">
    <w:name w:val="endnote reference"/>
    <w:basedOn w:val="DefaultParagraphFont"/>
    <w:uiPriority w:val="99"/>
    <w:semiHidden/>
    <w:unhideWhenUsed/>
    <w:rsid w:val="00D7771E"/>
    <w:rPr>
      <w:vertAlign w:val="superscript"/>
    </w:rPr>
  </w:style>
  <w:style w:type="character" w:styleId="CommentReference">
    <w:name w:val="annotation reference"/>
    <w:basedOn w:val="DefaultParagraphFont"/>
    <w:uiPriority w:val="99"/>
    <w:semiHidden/>
    <w:unhideWhenUsed/>
    <w:rsid w:val="00D7771E"/>
    <w:rPr>
      <w:sz w:val="16"/>
      <w:szCs w:val="16"/>
    </w:rPr>
  </w:style>
  <w:style w:type="paragraph" w:styleId="CommentText">
    <w:name w:val="annotation text"/>
    <w:basedOn w:val="Normal"/>
    <w:link w:val="CommentTextChar"/>
    <w:uiPriority w:val="99"/>
    <w:semiHidden/>
    <w:unhideWhenUsed/>
    <w:rsid w:val="00D7771E"/>
    <w:pPr>
      <w:spacing w:before="120" w:after="240"/>
    </w:pPr>
    <w:rPr>
      <w:rFonts w:eastAsiaTheme="minorHAnsi" w:cstheme="minorBidi"/>
      <w:sz w:val="20"/>
      <w:szCs w:val="20"/>
      <w:lang w:val="en-US"/>
    </w:rPr>
  </w:style>
  <w:style w:type="character" w:customStyle="1" w:styleId="CommentTextChar">
    <w:name w:val="Comment Text Char"/>
    <w:basedOn w:val="DefaultParagraphFont"/>
    <w:link w:val="CommentText"/>
    <w:uiPriority w:val="99"/>
    <w:semiHidden/>
    <w:rsid w:val="00D7771E"/>
    <w:rPr>
      <w:rFonts w:ascii="Times New Roman" w:hAnsi="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D7771E"/>
    <w:rPr>
      <w:b/>
      <w:bCs/>
    </w:rPr>
  </w:style>
  <w:style w:type="character" w:customStyle="1" w:styleId="CommentSubjectChar">
    <w:name w:val="Comment Subject Char"/>
    <w:basedOn w:val="CommentTextChar"/>
    <w:link w:val="CommentSubject"/>
    <w:uiPriority w:val="99"/>
    <w:semiHidden/>
    <w:rsid w:val="00D7771E"/>
    <w:rPr>
      <w:rFonts w:ascii="Times New Roman" w:hAnsi="Times New Roman"/>
      <w:b/>
      <w:bCs/>
      <w:kern w:val="0"/>
      <w:sz w:val="20"/>
      <w:szCs w:val="20"/>
      <w:lang w:val="en-US"/>
      <w14:ligatures w14:val="none"/>
    </w:rPr>
  </w:style>
  <w:style w:type="character" w:styleId="Hyperlink">
    <w:name w:val="Hyperlink"/>
    <w:basedOn w:val="DefaultParagraphFont"/>
    <w:uiPriority w:val="99"/>
    <w:unhideWhenUsed/>
    <w:rsid w:val="00D7771E"/>
    <w:rPr>
      <w:color w:val="0000FF"/>
      <w:u w:val="single"/>
    </w:rPr>
  </w:style>
  <w:style w:type="character" w:styleId="FollowedHyperlink">
    <w:name w:val="FollowedHyperlink"/>
    <w:basedOn w:val="DefaultParagraphFont"/>
    <w:uiPriority w:val="99"/>
    <w:semiHidden/>
    <w:unhideWhenUsed/>
    <w:rsid w:val="00D7771E"/>
    <w:rPr>
      <w:color w:val="954F72" w:themeColor="followedHyperlink"/>
      <w:u w:val="single"/>
    </w:rPr>
  </w:style>
  <w:style w:type="paragraph" w:styleId="Title">
    <w:name w:val="Title"/>
    <w:basedOn w:val="Normal"/>
    <w:next w:val="Normal"/>
    <w:link w:val="TitleChar"/>
    <w:qFormat/>
    <w:rsid w:val="00D7771E"/>
    <w:pPr>
      <w:suppressLineNumbers/>
      <w:spacing w:before="240" w:after="360"/>
      <w:jc w:val="center"/>
    </w:pPr>
    <w:rPr>
      <w:rFonts w:eastAsiaTheme="minorHAnsi"/>
      <w:b/>
      <w:sz w:val="32"/>
      <w:szCs w:val="32"/>
      <w:lang w:val="en-US"/>
    </w:rPr>
  </w:style>
  <w:style w:type="character" w:customStyle="1" w:styleId="TitleChar">
    <w:name w:val="Title Char"/>
    <w:basedOn w:val="DefaultParagraphFont"/>
    <w:link w:val="Title"/>
    <w:rsid w:val="00D7771E"/>
    <w:rPr>
      <w:rFonts w:ascii="Times New Roman" w:hAnsi="Times New Roman" w:cs="Times New Roman"/>
      <w:b/>
      <w:kern w:val="0"/>
      <w:sz w:val="32"/>
      <w:szCs w:val="32"/>
      <w:lang w:val="en-US"/>
      <w14:ligatures w14:val="none"/>
    </w:rPr>
  </w:style>
  <w:style w:type="paragraph" w:styleId="Subtitle">
    <w:name w:val="Subtitle"/>
    <w:basedOn w:val="Normal"/>
    <w:next w:val="Normal"/>
    <w:link w:val="SubtitleChar"/>
    <w:uiPriority w:val="99"/>
    <w:unhideWhenUsed/>
    <w:qFormat/>
    <w:rsid w:val="00D7771E"/>
    <w:pPr>
      <w:spacing w:before="240" w:after="240"/>
    </w:pPr>
    <w:rPr>
      <w:rFonts w:eastAsiaTheme="minorHAnsi"/>
      <w:b/>
      <w:lang w:val="en-US"/>
    </w:rPr>
  </w:style>
  <w:style w:type="character" w:customStyle="1" w:styleId="SubtitleChar">
    <w:name w:val="Subtitle Char"/>
    <w:basedOn w:val="DefaultParagraphFont"/>
    <w:link w:val="Subtitle"/>
    <w:uiPriority w:val="99"/>
    <w:rsid w:val="00D7771E"/>
    <w:rPr>
      <w:rFonts w:ascii="Times New Roman" w:hAnsi="Times New Roman" w:cs="Times New Roman"/>
      <w:b/>
      <w:kern w:val="0"/>
      <w:lang w:val="en-US"/>
      <w14:ligatures w14:val="none"/>
    </w:rPr>
  </w:style>
  <w:style w:type="paragraph" w:styleId="NoSpacing">
    <w:name w:val="No Spacing"/>
    <w:uiPriority w:val="99"/>
    <w:unhideWhenUsed/>
    <w:qFormat/>
    <w:rsid w:val="00D7771E"/>
    <w:rPr>
      <w:rFonts w:ascii="Times New Roman" w:hAnsi="Times New Roman"/>
      <w:kern w:val="0"/>
      <w:szCs w:val="22"/>
      <w:lang w:val="en-US"/>
      <w14:ligatures w14:val="none"/>
    </w:rPr>
  </w:style>
  <w:style w:type="paragraph" w:customStyle="1" w:styleId="AuthorList">
    <w:name w:val="Author List"/>
    <w:aliases w:val="Keywords,Abstract"/>
    <w:basedOn w:val="Subtitle"/>
    <w:next w:val="Normal"/>
    <w:uiPriority w:val="1"/>
    <w:qFormat/>
    <w:rsid w:val="00D7771E"/>
  </w:style>
  <w:style w:type="character" w:styleId="SubtleEmphasis">
    <w:name w:val="Subtle Emphasis"/>
    <w:basedOn w:val="DefaultParagraphFont"/>
    <w:uiPriority w:val="19"/>
    <w:qFormat/>
    <w:rsid w:val="00D7771E"/>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D7771E"/>
    <w:rPr>
      <w:rFonts w:ascii="Times New Roman" w:hAnsi="Times New Roman"/>
      <w:i/>
      <w:iCs/>
      <w:color w:val="auto"/>
    </w:rPr>
  </w:style>
  <w:style w:type="paragraph" w:styleId="Quote">
    <w:name w:val="Quote"/>
    <w:basedOn w:val="Normal"/>
    <w:next w:val="Normal"/>
    <w:link w:val="QuoteChar"/>
    <w:uiPriority w:val="29"/>
    <w:qFormat/>
    <w:rsid w:val="00D7771E"/>
    <w:pPr>
      <w:spacing w:before="200" w:after="160"/>
      <w:ind w:left="864" w:right="864"/>
      <w:jc w:val="center"/>
    </w:pPr>
    <w:rPr>
      <w:rFonts w:eastAsiaTheme="minorHAnsi" w:cstheme="minorBidi"/>
      <w:i/>
      <w:iCs/>
      <w:color w:val="404040" w:themeColor="text1" w:themeTint="BF"/>
      <w:szCs w:val="22"/>
      <w:lang w:val="en-US"/>
    </w:rPr>
  </w:style>
  <w:style w:type="character" w:customStyle="1" w:styleId="QuoteChar">
    <w:name w:val="Quote Char"/>
    <w:basedOn w:val="DefaultParagraphFont"/>
    <w:link w:val="Quote"/>
    <w:uiPriority w:val="29"/>
    <w:rsid w:val="00D7771E"/>
    <w:rPr>
      <w:rFonts w:ascii="Times New Roman" w:hAnsi="Times New Roman"/>
      <w:i/>
      <w:iCs/>
      <w:color w:val="404040" w:themeColor="text1" w:themeTint="BF"/>
      <w:kern w:val="0"/>
      <w:szCs w:val="22"/>
      <w:lang w:val="en-US"/>
      <w14:ligatures w14:val="none"/>
    </w:rPr>
  </w:style>
  <w:style w:type="character" w:styleId="IntenseReference">
    <w:name w:val="Intense Reference"/>
    <w:basedOn w:val="DefaultParagraphFont"/>
    <w:uiPriority w:val="32"/>
    <w:qFormat/>
    <w:rsid w:val="00D7771E"/>
    <w:rPr>
      <w:b/>
      <w:bCs/>
      <w:smallCaps/>
      <w:color w:val="auto"/>
      <w:spacing w:val="5"/>
    </w:rPr>
  </w:style>
  <w:style w:type="character" w:styleId="BookTitle">
    <w:name w:val="Book Title"/>
    <w:basedOn w:val="DefaultParagraphFont"/>
    <w:uiPriority w:val="33"/>
    <w:qFormat/>
    <w:rsid w:val="00D7771E"/>
    <w:rPr>
      <w:rFonts w:ascii="Times New Roman" w:hAnsi="Times New Roman"/>
      <w:b/>
      <w:bCs/>
      <w:i/>
      <w:iCs/>
      <w:spacing w:val="5"/>
    </w:rPr>
  </w:style>
  <w:style w:type="numbering" w:customStyle="1" w:styleId="Headings">
    <w:name w:val="Headings"/>
    <w:uiPriority w:val="99"/>
    <w:rsid w:val="00D7771E"/>
    <w:pPr>
      <w:numPr>
        <w:numId w:val="21"/>
      </w:numPr>
    </w:pPr>
  </w:style>
  <w:style w:type="paragraph" w:styleId="Revision">
    <w:name w:val="Revision"/>
    <w:hidden/>
    <w:uiPriority w:val="99"/>
    <w:semiHidden/>
    <w:rsid w:val="00D7771E"/>
    <w:rPr>
      <w:rFonts w:ascii="Times New Roman" w:hAnsi="Times New Roman"/>
      <w:kern w:val="0"/>
      <w:szCs w:val="22"/>
      <w:lang w:val="en-US"/>
      <w14:ligatures w14:val="none"/>
    </w:rPr>
  </w:style>
  <w:style w:type="character" w:styleId="UnresolvedMention">
    <w:name w:val="Unresolved Mention"/>
    <w:basedOn w:val="DefaultParagraphFont"/>
    <w:uiPriority w:val="99"/>
    <w:semiHidden/>
    <w:unhideWhenUsed/>
    <w:rsid w:val="00D7771E"/>
    <w:rPr>
      <w:color w:val="605E5C"/>
      <w:shd w:val="clear" w:color="auto" w:fill="E1DFDD"/>
    </w:rPr>
  </w:style>
  <w:style w:type="table" w:styleId="TableGridLight">
    <w:name w:val="Grid Table Light"/>
    <w:basedOn w:val="TableNormal"/>
    <w:uiPriority w:val="40"/>
    <w:rsid w:val="00D7771E"/>
    <w:rPr>
      <w:rFonts w:asciiTheme="majorHAnsi" w:hAnsiTheme="majorHAnsi"/>
      <w:kern w:val="0"/>
      <w:sz w:val="22"/>
      <w:szCs w:val="22"/>
      <w:lang w:val="en-US"/>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ndNoteBibliographyTitle">
    <w:name w:val="EndNote Bibliography Title"/>
    <w:basedOn w:val="Normal"/>
    <w:link w:val="EndNoteBibliographyTitleChar"/>
    <w:rsid w:val="00D7771E"/>
    <w:pPr>
      <w:spacing w:before="120"/>
      <w:jc w:val="center"/>
    </w:pPr>
    <w:rPr>
      <w:rFonts w:eastAsiaTheme="minorHAnsi"/>
      <w:szCs w:val="22"/>
      <w:lang w:val="en-US"/>
    </w:rPr>
  </w:style>
  <w:style w:type="character" w:customStyle="1" w:styleId="EndNoteBibliographyTitleChar">
    <w:name w:val="EndNote Bibliography Title Char"/>
    <w:basedOn w:val="DefaultParagraphFont"/>
    <w:link w:val="EndNoteBibliographyTitle"/>
    <w:rsid w:val="00D7771E"/>
    <w:rPr>
      <w:rFonts w:ascii="Times New Roman" w:hAnsi="Times New Roman" w:cs="Times New Roman"/>
      <w:kern w:val="0"/>
      <w:szCs w:val="22"/>
      <w:lang w:val="en-US"/>
      <w14:ligatures w14:val="none"/>
    </w:rPr>
  </w:style>
  <w:style w:type="paragraph" w:customStyle="1" w:styleId="EndNoteBibliography">
    <w:name w:val="EndNote Bibliography"/>
    <w:basedOn w:val="Normal"/>
    <w:link w:val="EndNoteBibliographyChar"/>
    <w:rsid w:val="00D7771E"/>
    <w:pPr>
      <w:spacing w:before="120" w:after="240"/>
    </w:pPr>
    <w:rPr>
      <w:rFonts w:eastAsiaTheme="minorHAnsi"/>
      <w:szCs w:val="22"/>
      <w:lang w:val="en-US"/>
    </w:rPr>
  </w:style>
  <w:style w:type="character" w:customStyle="1" w:styleId="EndNoteBibliographyChar">
    <w:name w:val="EndNote Bibliography Char"/>
    <w:basedOn w:val="DefaultParagraphFont"/>
    <w:link w:val="EndNoteBibliography"/>
    <w:rsid w:val="00D7771E"/>
    <w:rPr>
      <w:rFonts w:ascii="Times New Roman" w:hAnsi="Times New Roman" w:cs="Times New Roman"/>
      <w:kern w:val="0"/>
      <w:szCs w:val="22"/>
      <w:lang w:val="en-US"/>
      <w14:ligatures w14:val="none"/>
    </w:rPr>
  </w:style>
  <w:style w:type="table" w:customStyle="1" w:styleId="GridTable1Light1">
    <w:name w:val="Grid Table 1 Light1"/>
    <w:basedOn w:val="TableNormal"/>
    <w:uiPriority w:val="46"/>
    <w:rsid w:val="00D7771E"/>
    <w:rPr>
      <w:kern w:val="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timestamplabel">
    <w:name w:val="c-timestamp__label"/>
    <w:basedOn w:val="DefaultParagraphFont"/>
    <w:rsid w:val="00D7771E"/>
  </w:style>
  <w:style w:type="character" w:styleId="PlaceholderText">
    <w:name w:val="Placeholder Text"/>
    <w:basedOn w:val="DefaultParagraphFont"/>
    <w:uiPriority w:val="99"/>
    <w:semiHidden/>
    <w:rsid w:val="00D7771E"/>
    <w:rPr>
      <w:color w:val="808080"/>
    </w:rPr>
  </w:style>
  <w:style w:type="paragraph" w:customStyle="1" w:styleId="Authors">
    <w:name w:val="Authors"/>
    <w:basedOn w:val="Normal"/>
    <w:link w:val="AuthorsChar"/>
    <w:qFormat/>
    <w:rsid w:val="00D7771E"/>
    <w:pPr>
      <w:spacing w:before="180"/>
      <w:contextualSpacing/>
      <w:jc w:val="both"/>
    </w:pPr>
    <w:rPr>
      <w:lang w:val="en-GB" w:eastAsia="de-DE"/>
    </w:rPr>
  </w:style>
  <w:style w:type="character" w:customStyle="1" w:styleId="AuthorsChar">
    <w:name w:val="Authors Char"/>
    <w:basedOn w:val="DefaultParagraphFont"/>
    <w:link w:val="Authors"/>
    <w:rsid w:val="00D7771E"/>
    <w:rPr>
      <w:rFonts w:ascii="Times New Roman" w:eastAsia="Times New Roman" w:hAnsi="Times New Roman" w:cs="Times New Roman"/>
      <w:kern w:val="0"/>
      <w:lang w:val="en-GB" w:eastAsia="de-DE"/>
      <w14:ligatures w14:val="none"/>
    </w:rPr>
  </w:style>
  <w:style w:type="paragraph" w:customStyle="1" w:styleId="Correspondence">
    <w:name w:val="Correspondence"/>
    <w:basedOn w:val="Normal"/>
    <w:link w:val="CorrespondenceChar"/>
    <w:qFormat/>
    <w:rsid w:val="00D7771E"/>
    <w:pPr>
      <w:spacing w:before="120" w:after="360"/>
      <w:jc w:val="both"/>
    </w:pPr>
    <w:rPr>
      <w:sz w:val="20"/>
      <w:lang w:val="en-GB" w:eastAsia="de-DE"/>
    </w:rPr>
  </w:style>
  <w:style w:type="character" w:customStyle="1" w:styleId="CorrespondenceChar">
    <w:name w:val="Correspondence Char"/>
    <w:basedOn w:val="DefaultParagraphFont"/>
    <w:link w:val="Correspondence"/>
    <w:rsid w:val="00D7771E"/>
    <w:rPr>
      <w:rFonts w:ascii="Times New Roman" w:eastAsia="Times New Roman" w:hAnsi="Times New Roman" w:cs="Times New Roman"/>
      <w:kern w:val="0"/>
      <w:sz w:val="20"/>
      <w:lang w:val="en-GB"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doi.org/10.5281/zenodo.39505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oa-on.org/docs/GOA-ON_2nd_edition_final.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6749</Words>
  <Characters>38473</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dc:creator>
  <cp:keywords/>
  <dc:description/>
  <cp:lastModifiedBy>Wiley</cp:lastModifiedBy>
  <cp:revision>21</cp:revision>
  <dcterms:created xsi:type="dcterms:W3CDTF">2024-09-06T18:08:00Z</dcterms:created>
  <dcterms:modified xsi:type="dcterms:W3CDTF">2024-09-12T22:19:00Z</dcterms:modified>
</cp:coreProperties>
</file>