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This work is licensed under the Creative Commons Attribution 4.0 International License. Please attribute material in the data package to Hakai Institute, Zachary Monteith, Angeleen Olson, and Margot Hessing-Lewis.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You are free to share, copy, and redistribute the material in any format. </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You are free to adapt, remix, transform, and build upon the material for any purpose, even commercially</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You must give appropriate credit, provide a link to license, and indicate if changes were made. You may do some in any reasonable manner, but not in any way that suggest the licensor endorses you or your use.</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You may not apply legal terms or technological measures that legally restrict others from doing anything the license permits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To view a copy of this license, visit http://creativecommons.org/licenses/by/4.0/ or send a letter to Creative Commons, PO Box 1866, Mountain View, CA 94042, USA.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