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479B" w14:textId="3657DECC" w:rsidR="009C1F19" w:rsidRPr="009C1F19" w:rsidRDefault="009C1F19" w:rsidP="009C1F19">
      <w:pPr>
        <w:jc w:val="both"/>
        <w:rPr>
          <w:b/>
          <w:bCs/>
          <w:lang w:val="en-US"/>
        </w:rPr>
      </w:pPr>
      <w:r w:rsidRPr="009C1F19">
        <w:rPr>
          <w:b/>
          <w:bCs/>
          <w:lang w:val="en-US"/>
        </w:rPr>
        <w:t>Problem Definition</w:t>
      </w:r>
    </w:p>
    <w:p w14:paraId="6BBC8C25" w14:textId="728D9C68" w:rsidR="009C1F19" w:rsidRDefault="009C1F19" w:rsidP="009C1F19">
      <w:pPr>
        <w:ind w:firstLine="708"/>
        <w:jc w:val="both"/>
        <w:rPr>
          <w:lang w:val="en-US"/>
        </w:rPr>
      </w:pPr>
      <w:r w:rsidRPr="009C1F19">
        <w:rPr>
          <w:lang w:val="en-US"/>
        </w:rPr>
        <w:t>Blind and visually impaired individuals face numerous challenges in their everyday lives that are often not well understood. Daily activities, such as navigating independently, recognizing people, or detecting obstacles, can be extremely difficult without external assistance. Many visually impaired individuals require constant support in order to move safely, interact socially, and complete simple daily tasks. To address these difficulties, this study proposes the development of a smart system designed to assist blind and visually impaired people in their daily activities. Such a system can provide real-time guidance, object detection, and person recognition to enhance independence and safety.</w:t>
      </w:r>
    </w:p>
    <w:p w14:paraId="2E61315D" w14:textId="772D8B36" w:rsidR="009C1F19" w:rsidRPr="009C1F19" w:rsidRDefault="009C1F19" w:rsidP="009C1F19">
      <w:pPr>
        <w:ind w:firstLine="708"/>
        <w:jc w:val="both"/>
        <w:rPr>
          <w:lang w:val="en-US"/>
        </w:rPr>
      </w:pPr>
    </w:p>
    <w:p w14:paraId="6D6BD365" w14:textId="14148D0A" w:rsidR="009C1F19" w:rsidRPr="009C1F19" w:rsidRDefault="009C1F19" w:rsidP="009C1F19">
      <w:pPr>
        <w:ind w:firstLine="708"/>
        <w:jc w:val="both"/>
        <w:rPr>
          <w:lang w:val="en-US"/>
        </w:rPr>
      </w:pPr>
      <w:r w:rsidRPr="009C1F19">
        <w:rPr>
          <w:lang w:val="en-US"/>
        </w:rPr>
        <w:t>Globally, the visual impairment scale remains significant. In 2020, there were approximately 43.3 million blind individuals and 295 million people with moderate-to-severe visual impairment (MSVI). Among them, 17 million people (approximately 39.6% of all blindness cases) and 83.5 million (28.3% of MSVI cases) were affected by cataracts. Notably, women represented a higher proportion of these cases, accounting for 60% of blindness cases and 59% of MSVI cases. Between 1990 and 2020, the total number of people blinded to cataracts increased by 29.7%, while the number of MSVI cases increased by 93.1%. However, when adjusted for population growth and aging, the overall global rate of cataract-related blindness decreased by 27.5%, showing progress in prevention and treatment. Cataracts remain a major cause of blindness, particularly in South Asia (62.9%), Southeast Asia, and Oceania (47.9%) (Khanna et al., 2024).</w:t>
      </w:r>
      <w:r w:rsidR="00C2636E">
        <w:rPr>
          <w:lang w:val="en-US"/>
        </w:rPr>
        <w:t>[</w:t>
      </w:r>
      <w:r w:rsidR="00441C68">
        <w:rPr>
          <w:rFonts w:hint="cs"/>
          <w:rtl/>
          <w:lang w:val="en-US"/>
        </w:rPr>
        <w:t>1</w:t>
      </w:r>
      <w:r w:rsidR="00C2636E">
        <w:rPr>
          <w:lang w:val="en-US"/>
        </w:rPr>
        <w:t>]</w:t>
      </w:r>
    </w:p>
    <w:p w14:paraId="2735552E" w14:textId="73737E9D" w:rsidR="009C1F19" w:rsidRDefault="00FF489D" w:rsidP="00D446AB">
      <w:pPr>
        <w:ind w:firstLine="708"/>
        <w:rPr>
          <w:b/>
          <w:bCs/>
          <w:rtl/>
          <w:lang w:val="en-US"/>
        </w:rPr>
      </w:pPr>
      <w:r w:rsidRPr="002C4375">
        <w:rPr>
          <w:b/>
          <w:bCs/>
          <w:noProof/>
          <w:sz w:val="36"/>
          <w:szCs w:val="28"/>
          <w:lang w:val="en-US"/>
        </w:rPr>
        <mc:AlternateContent>
          <mc:Choice Requires="wps">
            <w:drawing>
              <wp:anchor distT="45720" distB="45720" distL="114300" distR="114300" simplePos="0" relativeHeight="251663360" behindDoc="0" locked="0" layoutInCell="1" allowOverlap="1" wp14:anchorId="459AE93A" wp14:editId="066D24BD">
                <wp:simplePos x="0" y="0"/>
                <wp:positionH relativeFrom="margin">
                  <wp:posOffset>3112631</wp:posOffset>
                </wp:positionH>
                <wp:positionV relativeFrom="paragraph">
                  <wp:posOffset>124863</wp:posOffset>
                </wp:positionV>
                <wp:extent cx="3530600" cy="2794635"/>
                <wp:effectExtent l="0" t="0" r="0" b="5715"/>
                <wp:wrapSquare wrapText="bothSides"/>
                <wp:docPr id="1526217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0" cy="2794635"/>
                        </a:xfrm>
                        <a:prstGeom prst="rect">
                          <a:avLst/>
                        </a:prstGeom>
                        <a:solidFill>
                          <a:srgbClr val="FFFFFF"/>
                        </a:solidFill>
                        <a:ln w="9525">
                          <a:noFill/>
                          <a:miter lim="800000"/>
                          <a:headEnd/>
                          <a:tailEnd/>
                        </a:ln>
                      </wps:spPr>
                      <wps:txbx>
                        <w:txbxContent>
                          <w:p w14:paraId="7A44C6B1" w14:textId="63C9B320" w:rsidR="002C4375" w:rsidRDefault="002C4375" w:rsidP="002C4375">
                            <w:pPr>
                              <w:rPr>
                                <w:i/>
                                <w:iCs/>
                                <w:sz w:val="22"/>
                                <w:szCs w:val="18"/>
                                <w:lang w:val="en-US"/>
                              </w:rPr>
                            </w:pPr>
                            <w:r>
                              <w:rPr>
                                <w:noProof/>
                              </w:rPr>
                              <w:drawing>
                                <wp:inline distT="0" distB="0" distL="0" distR="0" wp14:anchorId="4BE9B741" wp14:editId="20DE9D25">
                                  <wp:extent cx="2265572" cy="1420217"/>
                                  <wp:effectExtent l="304800" t="304800" r="325755" b="332740"/>
                                  <wp:docPr id="127076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724" name="Picture 2"/>
                                          <pic:cNvPicPr>
                                            <a:picLocks noChangeAspect="1"/>
                                          </pic:cNvPicPr>
                                        </pic:nvPicPr>
                                        <pic:blipFill rotWithShape="1">
                                          <a:blip r:embed="rId6">
                                            <a:extLst>
                                              <a:ext uri="{28A0092B-C50C-407E-A947-70E740481C1C}">
                                                <a14:useLocalDpi xmlns:a14="http://schemas.microsoft.com/office/drawing/2010/main" val="0"/>
                                              </a:ext>
                                            </a:extLst>
                                          </a:blip>
                                          <a:srcRect l="11202" t="4082" r="5861" b="16318"/>
                                          <a:stretch>
                                            <a:fillRect/>
                                          </a:stretch>
                                        </pic:blipFill>
                                        <pic:spPr bwMode="auto">
                                          <a:xfrm>
                                            <a:off x="0" y="0"/>
                                            <a:ext cx="2266705" cy="142092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F29D251" w14:textId="3C589C19" w:rsidR="002C4375" w:rsidRPr="002C4375" w:rsidRDefault="002C4375" w:rsidP="002C4375">
                            <w:pPr>
                              <w:rPr>
                                <w:rFonts w:hint="cs"/>
                                <w:rtl/>
                                <w:lang w:val="en-US" w:bidi="ar-EG"/>
                              </w:rPr>
                            </w:pPr>
                            <w:r w:rsidRPr="002C4375">
                              <w:rPr>
                                <w:i/>
                                <w:iCs/>
                                <w:sz w:val="22"/>
                                <w:szCs w:val="18"/>
                                <w:lang w:val="en-US"/>
                              </w:rPr>
                              <w:t>F</w:t>
                            </w:r>
                            <w:r w:rsidRPr="002C4375">
                              <w:rPr>
                                <w:i/>
                                <w:iCs/>
                                <w:sz w:val="22"/>
                                <w:szCs w:val="18"/>
                                <w:lang w:val="en-US"/>
                              </w:rPr>
                              <w:t>ig</w:t>
                            </w:r>
                            <w:r>
                              <w:rPr>
                                <w:i/>
                                <w:iCs/>
                                <w:sz w:val="22"/>
                                <w:szCs w:val="18"/>
                                <w:lang w:val="en-US"/>
                              </w:rPr>
                              <w:t>2</w:t>
                            </w:r>
                            <w:r w:rsidRPr="002C4375">
                              <w:rPr>
                                <w:i/>
                                <w:iCs/>
                                <w:sz w:val="22"/>
                                <w:szCs w:val="18"/>
                                <w:lang w:val="en-US"/>
                              </w:rPr>
                              <w:t>:</w:t>
                            </w:r>
                            <w:r w:rsidR="00F0427E" w:rsidRPr="00F0427E">
                              <w:rPr>
                                <w:i/>
                                <w:iCs/>
                                <w:sz w:val="22"/>
                                <w:szCs w:val="18"/>
                                <w:lang w:val="en-US"/>
                              </w:rPr>
                              <w:t xml:space="preserve"> illustrates the distribution of ages for the survey respondents compared with the age distribution for the U.S. population with significant vision </w:t>
                            </w:r>
                            <w:proofErr w:type="gramStart"/>
                            <w:r w:rsidR="00F0427E" w:rsidRPr="00F0427E">
                              <w:rPr>
                                <w:i/>
                                <w:iCs/>
                                <w:sz w:val="22"/>
                                <w:szCs w:val="18"/>
                                <w:lang w:val="en-US"/>
                              </w:rPr>
                              <w:t>loss.￼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AE93A" id="_x0000_t202" coordsize="21600,21600" o:spt="202" path="m,l,21600r21600,l21600,xe">
                <v:stroke joinstyle="miter"/>
                <v:path gradientshapeok="t" o:connecttype="rect"/>
              </v:shapetype>
              <v:shape id="Text Box 2" o:spid="_x0000_s1026" type="#_x0000_t202" style="position:absolute;left:0;text-align:left;margin-left:245.1pt;margin-top:9.85pt;width:278pt;height:220.0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" stroked="f">
                <v:textbox>
                  <w:txbxContent>
                    <w:p w14:paraId="7A44C6B1" w14:textId="63C9B320" w:rsidR="002C4375" w:rsidRDefault="002C4375" w:rsidP="002C4375">
                      <w:pPr>
                        <w:rPr>
                          <w:i/>
                          <w:iCs/>
                          <w:sz w:val="22"/>
                          <w:szCs w:val="18"/>
                          <w:lang w:val="en-US"/>
                        </w:rPr>
                      </w:pPr>
                      <w:r>
                        <w:rPr>
                          <w:noProof/>
                        </w:rPr>
                        <w:drawing>
                          <wp:inline distT="0" distB="0" distL="0" distR="0" wp14:anchorId="4BE9B741" wp14:editId="20DE9D25">
                            <wp:extent cx="2265572" cy="1420217"/>
                            <wp:effectExtent l="304800" t="304800" r="325755" b="332740"/>
                            <wp:docPr id="127076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724" name="Picture 2"/>
                                    <pic:cNvPicPr>
                                      <a:picLocks noChangeAspect="1"/>
                                    </pic:cNvPicPr>
                                  </pic:nvPicPr>
                                  <pic:blipFill rotWithShape="1">
                                    <a:blip r:embed="rId6">
                                      <a:extLst>
                                        <a:ext uri="{28A0092B-C50C-407E-A947-70E740481C1C}">
                                          <a14:useLocalDpi xmlns:a14="http://schemas.microsoft.com/office/drawing/2010/main" val="0"/>
                                        </a:ext>
                                      </a:extLst>
                                    </a:blip>
                                    <a:srcRect l="11202" t="4082" r="5861" b="16318"/>
                                    <a:stretch>
                                      <a:fillRect/>
                                    </a:stretch>
                                  </pic:blipFill>
                                  <pic:spPr bwMode="auto">
                                    <a:xfrm>
                                      <a:off x="0" y="0"/>
                                      <a:ext cx="2266705" cy="142092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F29D251" w14:textId="3C589C19" w:rsidR="002C4375" w:rsidRPr="002C4375" w:rsidRDefault="002C4375" w:rsidP="002C4375">
                      <w:pPr>
                        <w:rPr>
                          <w:rFonts w:hint="cs"/>
                          <w:rtl/>
                          <w:lang w:val="en-US" w:bidi="ar-EG"/>
                        </w:rPr>
                      </w:pPr>
                      <w:r w:rsidRPr="002C4375">
                        <w:rPr>
                          <w:i/>
                          <w:iCs/>
                          <w:sz w:val="22"/>
                          <w:szCs w:val="18"/>
                          <w:lang w:val="en-US"/>
                        </w:rPr>
                        <w:t>F</w:t>
                      </w:r>
                      <w:r w:rsidRPr="002C4375">
                        <w:rPr>
                          <w:i/>
                          <w:iCs/>
                          <w:sz w:val="22"/>
                          <w:szCs w:val="18"/>
                          <w:lang w:val="en-US"/>
                        </w:rPr>
                        <w:t>ig</w:t>
                      </w:r>
                      <w:r>
                        <w:rPr>
                          <w:i/>
                          <w:iCs/>
                          <w:sz w:val="22"/>
                          <w:szCs w:val="18"/>
                          <w:lang w:val="en-US"/>
                        </w:rPr>
                        <w:t>2</w:t>
                      </w:r>
                      <w:r w:rsidRPr="002C4375">
                        <w:rPr>
                          <w:i/>
                          <w:iCs/>
                          <w:sz w:val="22"/>
                          <w:szCs w:val="18"/>
                          <w:lang w:val="en-US"/>
                        </w:rPr>
                        <w:t>:</w:t>
                      </w:r>
                      <w:r w:rsidR="00F0427E" w:rsidRPr="00F0427E">
                        <w:rPr>
                          <w:i/>
                          <w:iCs/>
                          <w:sz w:val="22"/>
                          <w:szCs w:val="18"/>
                          <w:lang w:val="en-US"/>
                        </w:rPr>
                        <w:t xml:space="preserve"> illustrates the distribution of ages for the survey respondents compared with the age distribution for the U.S. population with significant vision </w:t>
                      </w:r>
                      <w:proofErr w:type="gramStart"/>
                      <w:r w:rsidR="00F0427E" w:rsidRPr="00F0427E">
                        <w:rPr>
                          <w:i/>
                          <w:iCs/>
                          <w:sz w:val="22"/>
                          <w:szCs w:val="18"/>
                          <w:lang w:val="en-US"/>
                        </w:rPr>
                        <w:t>loss.￼</w:t>
                      </w:r>
                      <w:proofErr w:type="gramEnd"/>
                    </w:p>
                  </w:txbxContent>
                </v:textbox>
                <w10:wrap type="square" anchorx="margin"/>
              </v:shape>
            </w:pict>
          </mc:Fallback>
        </mc:AlternateContent>
      </w:r>
      <w:r w:rsidR="00F21739" w:rsidRPr="002C4375">
        <w:rPr>
          <w:b/>
          <w:bCs/>
          <w:noProof/>
          <w:sz w:val="36"/>
          <w:szCs w:val="28"/>
          <w:lang w:val="en-US"/>
        </w:rPr>
        <mc:AlternateContent>
          <mc:Choice Requires="wps">
            <w:drawing>
              <wp:anchor distT="45720" distB="45720" distL="114300" distR="114300" simplePos="0" relativeHeight="251661312" behindDoc="0" locked="0" layoutInCell="1" allowOverlap="1" wp14:anchorId="35F17514" wp14:editId="036D17B1">
                <wp:simplePos x="0" y="0"/>
                <wp:positionH relativeFrom="margin">
                  <wp:align>left</wp:align>
                </wp:positionH>
                <wp:positionV relativeFrom="paragraph">
                  <wp:posOffset>239271</wp:posOffset>
                </wp:positionV>
                <wp:extent cx="3070225" cy="25722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225" cy="2572215"/>
                        </a:xfrm>
                        <a:prstGeom prst="rect">
                          <a:avLst/>
                        </a:prstGeom>
                        <a:solidFill>
                          <a:srgbClr val="FFFFFF"/>
                        </a:solidFill>
                        <a:ln w="9525">
                          <a:noFill/>
                          <a:miter lim="800000"/>
                          <a:headEnd/>
                          <a:tailEnd/>
                        </a:ln>
                      </wps:spPr>
                      <wps:txbx>
                        <w:txbxContent>
                          <w:p w14:paraId="58A1C2CD" w14:textId="6488058B" w:rsidR="002C4375" w:rsidRPr="002C4375" w:rsidRDefault="002C4375">
                            <w:pPr>
                              <w:rPr>
                                <w:lang w:val="en-US"/>
                              </w:rPr>
                            </w:pPr>
                            <w:r>
                              <w:rPr>
                                <w:noProof/>
                              </w:rPr>
                              <w:drawing>
                                <wp:inline distT="0" distB="0" distL="0" distR="0" wp14:anchorId="6E8F1988" wp14:editId="06C744DA">
                                  <wp:extent cx="2263140" cy="1290955"/>
                                  <wp:effectExtent l="304800" t="304800" r="327660" b="328295"/>
                                  <wp:docPr id="163842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23452" name="Picture 1"/>
                                          <pic:cNvPicPr>
                                            <a:picLocks noChangeAspect="1"/>
                                          </pic:cNvPicPr>
                                        </pic:nvPicPr>
                                        <pic:blipFill rotWithShape="1">
                                          <a:blip r:embed="rId7">
                                            <a:extLst>
                                              <a:ext uri="{28A0092B-C50C-407E-A947-70E740481C1C}">
                                                <a14:useLocalDpi xmlns:a14="http://schemas.microsoft.com/office/drawing/2010/main" val="0"/>
                                              </a:ext>
                                            </a:extLst>
                                          </a:blip>
                                          <a:srcRect l="13986" t="3794" r="5738" b="13766"/>
                                          <a:stretch>
                                            <a:fillRect/>
                                          </a:stretch>
                                        </pic:blipFill>
                                        <pic:spPr bwMode="auto">
                                          <a:xfrm>
                                            <a:off x="0" y="0"/>
                                            <a:ext cx="2263140" cy="129095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2C4375">
                              <w:rPr>
                                <w:i/>
                                <w:iCs/>
                                <w:sz w:val="22"/>
                                <w:szCs w:val="18"/>
                                <w:lang w:val="en-US"/>
                              </w:rPr>
                              <w:t>fig1: study shows distribution of frequencies of head-level accidents for blind people in 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17514" id="_x0000_s1027" type="#_x0000_t202" style="position:absolute;left:0;text-align:left;margin-left:0;margin-top:18.85pt;width:241.75pt;height:202.5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" stroked="f">
                <v:textbox>
                  <w:txbxContent>
                    <w:p w14:paraId="58A1C2CD" w14:textId="6488058B" w:rsidR="002C4375" w:rsidRPr="002C4375" w:rsidRDefault="002C4375">
                      <w:pPr>
                        <w:rPr>
                          <w:lang w:val="en-US"/>
                        </w:rPr>
                      </w:pPr>
                      <w:r>
                        <w:rPr>
                          <w:noProof/>
                        </w:rPr>
                        <w:drawing>
                          <wp:inline distT="0" distB="0" distL="0" distR="0" wp14:anchorId="6E8F1988" wp14:editId="06C744DA">
                            <wp:extent cx="2263140" cy="1290955"/>
                            <wp:effectExtent l="304800" t="304800" r="327660" b="328295"/>
                            <wp:docPr id="163842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23452" name="Picture 1"/>
                                    <pic:cNvPicPr>
                                      <a:picLocks noChangeAspect="1"/>
                                    </pic:cNvPicPr>
                                  </pic:nvPicPr>
                                  <pic:blipFill rotWithShape="1">
                                    <a:blip r:embed="rId7">
                                      <a:extLst>
                                        <a:ext uri="{28A0092B-C50C-407E-A947-70E740481C1C}">
                                          <a14:useLocalDpi xmlns:a14="http://schemas.microsoft.com/office/drawing/2010/main" val="0"/>
                                        </a:ext>
                                      </a:extLst>
                                    </a:blip>
                                    <a:srcRect l="13986" t="3794" r="5738" b="13766"/>
                                    <a:stretch>
                                      <a:fillRect/>
                                    </a:stretch>
                                  </pic:blipFill>
                                  <pic:spPr bwMode="auto">
                                    <a:xfrm>
                                      <a:off x="0" y="0"/>
                                      <a:ext cx="2263140" cy="129095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2C4375">
                        <w:rPr>
                          <w:i/>
                          <w:iCs/>
                          <w:sz w:val="22"/>
                          <w:szCs w:val="18"/>
                          <w:lang w:val="en-US"/>
                        </w:rPr>
                        <w:t>fig1: study shows distribution of frequencies of head-level accidents for blind people in US</w:t>
                      </w:r>
                    </w:p>
                  </w:txbxContent>
                </v:textbox>
                <w10:wrap type="square" anchorx="margin"/>
              </v:shape>
            </w:pict>
          </mc:Fallback>
        </mc:AlternateContent>
      </w:r>
    </w:p>
    <w:p w14:paraId="7913361F" w14:textId="77777777" w:rsidR="002C4375" w:rsidRDefault="002C4375" w:rsidP="00441C68">
      <w:pPr>
        <w:rPr>
          <w:b/>
          <w:bCs/>
          <w:sz w:val="36"/>
          <w:szCs w:val="28"/>
          <w:rtl/>
          <w:lang w:val="en-US"/>
        </w:rPr>
      </w:pPr>
    </w:p>
    <w:p w14:paraId="19B68A02" w14:textId="77777777" w:rsidR="002C4375" w:rsidRDefault="002C4375" w:rsidP="00441C68">
      <w:pPr>
        <w:rPr>
          <w:b/>
          <w:bCs/>
          <w:sz w:val="36"/>
          <w:szCs w:val="28"/>
          <w:lang w:val="en-US"/>
        </w:rPr>
      </w:pPr>
    </w:p>
    <w:p w14:paraId="2CEA3A55" w14:textId="77777777" w:rsidR="00F21739" w:rsidRDefault="00F21739" w:rsidP="00441C68">
      <w:pPr>
        <w:rPr>
          <w:b/>
          <w:bCs/>
          <w:sz w:val="36"/>
          <w:szCs w:val="28"/>
          <w:rtl/>
          <w:lang w:val="en-US"/>
        </w:rPr>
      </w:pPr>
    </w:p>
    <w:p w14:paraId="7CC792F5" w14:textId="71104F13" w:rsidR="00441C68" w:rsidRPr="00441C68" w:rsidRDefault="00441C68" w:rsidP="00441C68">
      <w:pPr>
        <w:rPr>
          <w:b/>
          <w:bCs/>
          <w:sz w:val="36"/>
          <w:szCs w:val="28"/>
          <w:lang w:val="en-US"/>
        </w:rPr>
      </w:pPr>
      <w:r w:rsidRPr="00441C68">
        <w:rPr>
          <w:b/>
          <w:bCs/>
          <w:sz w:val="36"/>
          <w:szCs w:val="28"/>
          <w:lang w:val="en-US"/>
        </w:rPr>
        <w:lastRenderedPageBreak/>
        <w:t>Goal</w:t>
      </w:r>
    </w:p>
    <w:p w14:paraId="4F6B63BB" w14:textId="0F540966" w:rsidR="00D446AB" w:rsidRPr="009C1F19" w:rsidRDefault="00D446AB" w:rsidP="009C1F19">
      <w:pPr>
        <w:rPr>
          <w:rFonts w:hint="cs"/>
          <w:b/>
          <w:bCs/>
          <w:rtl/>
          <w:lang w:val="en-US" w:bidi="ar-EG"/>
        </w:rPr>
      </w:pPr>
      <w:r w:rsidRPr="009C1F19">
        <w:rPr>
          <w:b/>
          <w:bCs/>
          <w:lang w:val="en-US"/>
        </w:rPr>
        <w:t xml:space="preserve">What </w:t>
      </w:r>
      <w:r w:rsidR="009C1F19" w:rsidRPr="009C1F19">
        <w:rPr>
          <w:b/>
          <w:bCs/>
          <w:lang w:val="en-US"/>
        </w:rPr>
        <w:t>will we do</w:t>
      </w:r>
    </w:p>
    <w:p w14:paraId="0D651A7F" w14:textId="787785B6" w:rsidR="00D446AB" w:rsidRDefault="00D446AB" w:rsidP="00D446AB">
      <w:pPr>
        <w:ind w:firstLine="708"/>
        <w:rPr>
          <w:lang w:val="en-US"/>
        </w:rPr>
      </w:pPr>
    </w:p>
    <w:p w14:paraId="56DC3EDD" w14:textId="55FE6335" w:rsidR="00D446AB" w:rsidRPr="00D446AB" w:rsidRDefault="00D446AB" w:rsidP="00D446AB">
      <w:pPr>
        <w:ind w:firstLine="708"/>
        <w:rPr>
          <w:lang w:val="en-US"/>
        </w:rPr>
      </w:pPr>
      <w:r w:rsidRPr="00D446AB">
        <w:rPr>
          <w:lang w:val="en-US"/>
        </w:rPr>
        <w:t>This research addresses the efficiency paradox in AI-powered assistive technologies for the visually impaired. While advanced Computer Vision systems offer unprecedented support, their implementation in wearable devices is hampered by large memory and computational demands, leading to poor battery life and high costs. To address this, we propose an ultra-efficient, linear algebra-based filtering architecture that acts as a real-time gatekeeper, selectively engaging high-cost AI resources only upon detecting an external anomaly [</w:t>
      </w:r>
      <w:r w:rsidR="00441C68">
        <w:rPr>
          <w:rFonts w:hint="cs"/>
          <w:rtl/>
          <w:lang w:val="en-US"/>
        </w:rPr>
        <w:t>2</w:t>
      </w:r>
      <w:r w:rsidRPr="00D446AB">
        <w:rPr>
          <w:lang w:val="en-US"/>
        </w:rPr>
        <w:t>].</w:t>
      </w:r>
    </w:p>
    <w:p w14:paraId="5A6497AC" w14:textId="3C21B765" w:rsidR="00D446AB" w:rsidRPr="00D446AB" w:rsidRDefault="00D446AB" w:rsidP="009C1F19">
      <w:pPr>
        <w:ind w:firstLine="708"/>
        <w:rPr>
          <w:lang w:val="en-US"/>
        </w:rPr>
      </w:pPr>
      <w:r w:rsidRPr="00D446AB">
        <w:rPr>
          <w:lang w:val="en-US"/>
        </w:rPr>
        <w:t>The core of our filter relies on low-rank matrix approximation, specifically the Adaptive-Rank Singular Value Decomposition (ARSVD), to compress the baseline representation of a user's familiar environment [</w:t>
      </w:r>
      <w:r w:rsidR="00441C68">
        <w:rPr>
          <w:rFonts w:hint="cs"/>
          <w:rtl/>
          <w:lang w:val="en-US"/>
        </w:rPr>
        <w:t>2</w:t>
      </w:r>
      <w:r w:rsidRPr="00D446AB">
        <w:rPr>
          <w:lang w:val="en-US"/>
        </w:rPr>
        <w:t>]. This process drastically reduces the parameter count and space complexity while adaptively selecting the optimal rank for each layer, ensuring the retention of essential spectral energy while eliminating redundant information [</w:t>
      </w:r>
      <w:r w:rsidR="00441C68">
        <w:rPr>
          <w:rFonts w:hint="cs"/>
          <w:rtl/>
          <w:lang w:val="en-US"/>
        </w:rPr>
        <w:t>3</w:t>
      </w:r>
      <w:r w:rsidRPr="00D446AB">
        <w:rPr>
          <w:lang w:val="en-US"/>
        </w:rPr>
        <w:t>].</w:t>
      </w:r>
    </w:p>
    <w:p w14:paraId="601B9732" w14:textId="48B33E29" w:rsidR="00D446AB" w:rsidRPr="00D446AB" w:rsidRDefault="00D446AB" w:rsidP="009C1F19">
      <w:pPr>
        <w:ind w:firstLine="708"/>
        <w:rPr>
          <w:lang w:val="en-US"/>
        </w:rPr>
      </w:pPr>
      <w:r w:rsidRPr="00D446AB">
        <w:rPr>
          <w:lang w:val="en-US"/>
        </w:rPr>
        <w:t>The continuous detection loop performs one-class novelty detection, where an incoming input image is deemed "normal" if it closely matches the compressed low-rank model. Novelty is signaled by calculating the reconstruction error, which is typically larger for novel images than for normal images [</w:t>
      </w:r>
      <w:r w:rsidR="00441C68">
        <w:rPr>
          <w:rFonts w:hint="cs"/>
          <w:rtl/>
          <w:lang w:val="en-US"/>
        </w:rPr>
        <w:t>4</w:t>
      </w:r>
      <w:r w:rsidRPr="00D446AB">
        <w:rPr>
          <w:lang w:val="en-US"/>
        </w:rPr>
        <w:t>]. By setting a threshold on the reconstruction error, the heavy, full DNN model is only executed if the low-rank filter signals an anomaly.</w:t>
      </w:r>
    </w:p>
    <w:p w14:paraId="1D8440B8" w14:textId="470C5548" w:rsidR="00D446AB" w:rsidRPr="00D446AB" w:rsidRDefault="00D446AB" w:rsidP="009C1F19">
      <w:pPr>
        <w:ind w:firstLine="708"/>
        <w:rPr>
          <w:lang w:val="en-US"/>
        </w:rPr>
      </w:pPr>
      <w:r w:rsidRPr="00D446AB">
        <w:rPr>
          <w:lang w:val="en-US"/>
        </w:rPr>
        <w:t>This integrated approach significantly enhances the feasibility of advanced computer vision on wearable devices by providing superior efficiency with lower memory usage and faster inference times. The method proves its reliability as a filter, maintaining or improving classification accuracy on complex datasets while achieving increases of over 11 percentage points in some experiments [</w:t>
      </w:r>
      <w:r w:rsidR="00441C68">
        <w:rPr>
          <w:rFonts w:hint="cs"/>
          <w:rtl/>
          <w:lang w:val="en-US"/>
        </w:rPr>
        <w:t>3</w:t>
      </w:r>
      <w:r w:rsidRPr="00D446AB">
        <w:rPr>
          <w:lang w:val="en-US"/>
        </w:rPr>
        <w:t>]. This guarantees that the lightweight gatekeeper can accurately discriminate between safe, familiar environments and critical, novel threats, addressing major challenges in assistive device design.</w:t>
      </w:r>
    </w:p>
    <w:p w14:paraId="2C595DBE" w14:textId="46CE6754" w:rsidR="00D446AB" w:rsidRDefault="00D446AB">
      <w:pPr>
        <w:spacing w:line="259" w:lineRule="auto"/>
        <w:rPr>
          <w:lang w:val="en-US"/>
        </w:rPr>
      </w:pPr>
      <w:r>
        <w:rPr>
          <w:lang w:val="en-US"/>
        </w:rPr>
        <w:br w:type="page"/>
      </w:r>
    </w:p>
    <w:p w14:paraId="07A89575" w14:textId="3E8AF264" w:rsidR="0021696F" w:rsidRPr="0021696F" w:rsidRDefault="0021696F" w:rsidP="0021696F">
      <w:pPr>
        <w:jc w:val="center"/>
        <w:rPr>
          <w:b/>
          <w:bCs/>
          <w:sz w:val="32"/>
          <w:szCs w:val="24"/>
          <w:u w:val="single"/>
          <w:lang w:val="en-US"/>
        </w:rPr>
      </w:pPr>
      <w:r w:rsidRPr="0021696F">
        <w:rPr>
          <w:b/>
          <w:bCs/>
          <w:sz w:val="32"/>
          <w:szCs w:val="24"/>
          <w:u w:val="single"/>
          <w:lang w:val="en-US"/>
        </w:rPr>
        <w:lastRenderedPageBreak/>
        <w:t>Citation</w:t>
      </w:r>
    </w:p>
    <w:p w14:paraId="313AF9B9" w14:textId="77777777" w:rsidR="0021696F" w:rsidRDefault="0021696F" w:rsidP="0021696F">
      <w:pPr>
        <w:jc w:val="center"/>
        <w:rPr>
          <w:b/>
          <w:bCs/>
          <w:lang w:val="en-US"/>
        </w:rPr>
      </w:pPr>
    </w:p>
    <w:p w14:paraId="5DA1270A" w14:textId="02837192" w:rsidR="00F21739" w:rsidRPr="00F21739" w:rsidRDefault="00F21739" w:rsidP="0021696F">
      <w:pPr>
        <w:jc w:val="both"/>
        <w:rPr>
          <w:b/>
          <w:bCs/>
          <w:lang w:val="en-US"/>
        </w:rPr>
      </w:pPr>
      <w:r w:rsidRPr="00F21739">
        <w:rPr>
          <w:b/>
          <w:bCs/>
          <w:lang w:val="en-US"/>
        </w:rPr>
        <w:t>Global estimates on the number of people blind or visually impaired by cataract</w:t>
      </w:r>
      <w:r>
        <w:rPr>
          <w:b/>
          <w:bCs/>
          <w:lang w:val="en-US"/>
        </w:rPr>
        <w:t xml:space="preserve"> from Nature:</w:t>
      </w:r>
    </w:p>
    <w:p w14:paraId="326E9CAD" w14:textId="2C668AD3" w:rsidR="00441C68" w:rsidRPr="00F21739" w:rsidRDefault="00441C68" w:rsidP="00F21739">
      <w:pPr>
        <w:jc w:val="both"/>
        <w:rPr>
          <w:lang w:val="en-US"/>
        </w:rPr>
      </w:pPr>
      <w:r>
        <w:rPr>
          <w:lang w:val="en-US"/>
        </w:rPr>
        <w:t>[</w:t>
      </w:r>
      <w:r>
        <w:rPr>
          <w:rFonts w:hint="cs"/>
          <w:rtl/>
          <w:lang w:val="en-US"/>
        </w:rPr>
        <w:t>1</w:t>
      </w:r>
      <w:r>
        <w:rPr>
          <w:lang w:val="en-US"/>
        </w:rPr>
        <w:t xml:space="preserve">] </w:t>
      </w:r>
      <w:r w:rsidRPr="009C1F19">
        <w:rPr>
          <w:lang w:val="en-US"/>
        </w:rPr>
        <w:t>Khanna, R. C., Rathi, V. M., &amp; Foster, A.</w:t>
      </w:r>
      <w:r w:rsidR="00EE5DD8">
        <w:rPr>
          <w:lang w:val="en-US"/>
        </w:rPr>
        <w:t xml:space="preserve"> </w:t>
      </w:r>
      <w:r w:rsidRPr="009C1F19">
        <w:rPr>
          <w:lang w:val="en-US"/>
        </w:rPr>
        <w:t>Global prevalence, causes, and trends in cataract blindness and visual impairment, 1990–2020: A systematic analysis for the Global Burden of Disease Study. Eye, Nature.</w:t>
      </w:r>
      <w:r w:rsidR="00EE5DD8">
        <w:rPr>
          <w:lang w:val="en-US"/>
        </w:rPr>
        <w:t xml:space="preserve"> 2024</w:t>
      </w:r>
      <w:r w:rsidR="00F21739">
        <w:rPr>
          <w:lang w:val="en-US"/>
        </w:rPr>
        <w:tab/>
      </w:r>
      <w:r w:rsidR="00F21739">
        <w:rPr>
          <w:lang w:val="en-US"/>
        </w:rPr>
        <w:tab/>
      </w:r>
      <w:r w:rsidR="00F21739">
        <w:rPr>
          <w:lang w:val="en-US"/>
        </w:rPr>
        <w:tab/>
      </w:r>
      <w:proofErr w:type="gramStart"/>
      <w:r w:rsidR="00F21739">
        <w:rPr>
          <w:lang w:val="en-US"/>
        </w:rPr>
        <w:tab/>
        <w:t xml:space="preserve">  Available</w:t>
      </w:r>
      <w:proofErr w:type="gramEnd"/>
      <w:r w:rsidR="00F21739">
        <w:rPr>
          <w:lang w:val="en-US"/>
        </w:rPr>
        <w:t xml:space="preserve">: </w:t>
      </w:r>
      <w:hyperlink r:id="rId8" w:history="1">
        <w:r w:rsidR="00F21739" w:rsidRPr="002A1139">
          <w:rPr>
            <w:rStyle w:val="Hyperlink"/>
            <w:lang w:val="en-US"/>
          </w:rPr>
          <w:t>https://www.nature.co</w:t>
        </w:r>
        <w:r w:rsidR="00F21739" w:rsidRPr="002A1139">
          <w:rPr>
            <w:rStyle w:val="Hyperlink"/>
            <w:lang w:val="en-US"/>
          </w:rPr>
          <w:t>m</w:t>
        </w:r>
        <w:r w:rsidR="00F21739" w:rsidRPr="002A1139">
          <w:rPr>
            <w:rStyle w:val="Hyperlink"/>
            <w:lang w:val="en-US"/>
          </w:rPr>
          <w:t>/articles/s41433-024-02961-1</w:t>
        </w:r>
      </w:hyperlink>
    </w:p>
    <w:p w14:paraId="609710BF" w14:textId="77777777" w:rsidR="00441C68" w:rsidRDefault="00441C68" w:rsidP="00441C68">
      <w:pPr>
        <w:rPr>
          <w:b/>
          <w:bCs/>
          <w:rtl/>
          <w:lang w:val="en-US"/>
        </w:rPr>
      </w:pPr>
    </w:p>
    <w:p w14:paraId="68743C9A" w14:textId="466FEEDB" w:rsidR="00D446AB" w:rsidRPr="00D446AB" w:rsidRDefault="00D446AB" w:rsidP="00441C68">
      <w:pPr>
        <w:rPr>
          <w:b/>
          <w:bCs/>
          <w:lang w:val="en-US"/>
        </w:rPr>
      </w:pPr>
      <w:proofErr w:type="spellStart"/>
      <w:r w:rsidRPr="00D446AB">
        <w:rPr>
          <w:b/>
          <w:bCs/>
          <w:lang w:val="en-US"/>
        </w:rPr>
        <w:t>ArXiv</w:t>
      </w:r>
      <w:proofErr w:type="spellEnd"/>
      <w:r w:rsidRPr="00D446AB">
        <w:rPr>
          <w:b/>
          <w:bCs/>
          <w:lang w:val="en-US"/>
        </w:rPr>
        <w:t xml:space="preserve"> preprint 1:</w:t>
      </w:r>
      <w:r w:rsidRPr="00D446AB">
        <w:rPr>
          <w:lang w:val="en-US"/>
        </w:rPr>
        <w:br/>
        <w:t>[</w:t>
      </w:r>
      <w:r w:rsidR="00441C68">
        <w:rPr>
          <w:rFonts w:hint="cs"/>
          <w:rtl/>
          <w:lang w:val="en-US"/>
        </w:rPr>
        <w:t>2</w:t>
      </w:r>
      <w:r w:rsidRPr="00D446AB">
        <w:rPr>
          <w:lang w:val="en-US"/>
        </w:rPr>
        <w:t xml:space="preserve">] P. </w:t>
      </w:r>
      <w:proofErr w:type="spellStart"/>
      <w:r w:rsidRPr="00D446AB">
        <w:rPr>
          <w:lang w:val="en-US"/>
        </w:rPr>
        <w:t>Naayini</w:t>
      </w:r>
      <w:proofErr w:type="spellEnd"/>
      <w:r w:rsidRPr="00D446AB">
        <w:rPr>
          <w:lang w:val="en-US"/>
        </w:rPr>
        <w:t xml:space="preserve">, P. K. </w:t>
      </w:r>
      <w:proofErr w:type="spellStart"/>
      <w:r w:rsidRPr="00D446AB">
        <w:rPr>
          <w:lang w:val="en-US"/>
        </w:rPr>
        <w:t>Myakala</w:t>
      </w:r>
      <w:proofErr w:type="spellEnd"/>
      <w:r w:rsidRPr="00D446AB">
        <w:rPr>
          <w:lang w:val="en-US"/>
        </w:rPr>
        <w:t>, C. Bura, et al., "AI-Powered Assistive Technologies for Visual Impairment," University of Colorado Boulder, 2025.</w:t>
      </w:r>
      <w:r>
        <w:rPr>
          <w:lang w:val="en-US"/>
        </w:rPr>
        <w:tab/>
      </w:r>
      <w:r>
        <w:rPr>
          <w:lang w:val="en-US"/>
        </w:rPr>
        <w:tab/>
      </w:r>
      <w:r>
        <w:rPr>
          <w:lang w:val="en-US"/>
        </w:rPr>
        <w:tab/>
        <w:t xml:space="preserve">   </w:t>
      </w:r>
      <w:r w:rsidRPr="00D446AB">
        <w:rPr>
          <w:lang w:val="en-US"/>
        </w:rPr>
        <w:t xml:space="preserve">Available: </w:t>
      </w:r>
      <w:hyperlink r:id="rId9" w:tgtFrame="_blank" w:history="1">
        <w:r w:rsidRPr="00D446AB">
          <w:rPr>
            <w:rStyle w:val="Hyperlink"/>
            <w:lang w:val="en-US"/>
          </w:rPr>
          <w:t>https://arxiv.org/html</w:t>
        </w:r>
        <w:r w:rsidRPr="00D446AB">
          <w:rPr>
            <w:rStyle w:val="Hyperlink"/>
            <w:lang w:val="en-US"/>
          </w:rPr>
          <w:t>/</w:t>
        </w:r>
        <w:r w:rsidRPr="00D446AB">
          <w:rPr>
            <w:rStyle w:val="Hyperlink"/>
            <w:lang w:val="en-US"/>
          </w:rPr>
          <w:t>2503.15494v1</w:t>
        </w:r>
      </w:hyperlink>
    </w:p>
    <w:p w14:paraId="4E45DA87" w14:textId="47171BEC" w:rsidR="00D446AB" w:rsidRPr="00D446AB" w:rsidRDefault="00D446AB" w:rsidP="00D446AB">
      <w:pPr>
        <w:rPr>
          <w:rFonts w:hint="cs"/>
          <w:rtl/>
          <w:lang w:val="en-US" w:bidi="ar-EG"/>
        </w:rPr>
      </w:pPr>
      <w:proofErr w:type="spellStart"/>
      <w:r w:rsidRPr="00D446AB">
        <w:rPr>
          <w:b/>
          <w:bCs/>
          <w:lang w:val="en-US"/>
        </w:rPr>
        <w:t>ArXiv</w:t>
      </w:r>
      <w:proofErr w:type="spellEnd"/>
      <w:r w:rsidRPr="00D446AB">
        <w:rPr>
          <w:b/>
          <w:bCs/>
          <w:lang w:val="en-US"/>
        </w:rPr>
        <w:t xml:space="preserve"> preprint 2:</w:t>
      </w:r>
      <w:r w:rsidRPr="00D446AB">
        <w:rPr>
          <w:lang w:val="en-US"/>
        </w:rPr>
        <w:br/>
        <w:t>[</w:t>
      </w:r>
      <w:r w:rsidR="00441C68">
        <w:rPr>
          <w:rFonts w:hint="cs"/>
          <w:rtl/>
          <w:lang w:val="en-US"/>
        </w:rPr>
        <w:t>3</w:t>
      </w:r>
      <w:r w:rsidRPr="00D446AB">
        <w:rPr>
          <w:lang w:val="en-US"/>
        </w:rPr>
        <w:t xml:space="preserve">] K. Cherukuri and A. Lala, "Low-Rank Matrix Approximation for Neural Network Compression," </w:t>
      </w:r>
      <w:proofErr w:type="spellStart"/>
      <w:r w:rsidRPr="00D446AB">
        <w:rPr>
          <w:lang w:val="en-US"/>
        </w:rPr>
        <w:t>arXiv</w:t>
      </w:r>
      <w:proofErr w:type="spellEnd"/>
      <w:r w:rsidRPr="00D446AB">
        <w:rPr>
          <w:lang w:val="en-US"/>
        </w:rPr>
        <w:t>, 2025.</w:t>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w:t>
      </w:r>
      <w:r w:rsidRPr="00D446AB">
        <w:rPr>
          <w:lang w:val="en-US"/>
        </w:rPr>
        <w:t xml:space="preserve">Available: </w:t>
      </w:r>
      <w:hyperlink r:id="rId10" w:history="1">
        <w:r w:rsidRPr="00D446AB">
          <w:rPr>
            <w:rStyle w:val="Hyperlink"/>
            <w:lang w:val="en-US"/>
          </w:rPr>
          <w:t>https://arxiv.org/html/2504.20078v1</w:t>
        </w:r>
      </w:hyperlink>
    </w:p>
    <w:p w14:paraId="68DD4D2C" w14:textId="5EFDF9E2" w:rsidR="00D446AB" w:rsidRPr="00D446AB" w:rsidRDefault="00D446AB" w:rsidP="00D446AB">
      <w:pPr>
        <w:rPr>
          <w:lang w:val="en-US"/>
        </w:rPr>
      </w:pPr>
      <w:r w:rsidRPr="00D446AB">
        <w:rPr>
          <w:b/>
          <w:bCs/>
          <w:lang w:val="en-US"/>
        </w:rPr>
        <w:t>Conference paper:</w:t>
      </w:r>
      <w:r w:rsidRPr="00D446AB">
        <w:rPr>
          <w:lang w:val="en-US"/>
        </w:rPr>
        <w:br/>
        <w:t>[</w:t>
      </w:r>
      <w:r w:rsidR="00441C68">
        <w:rPr>
          <w:rFonts w:hint="cs"/>
          <w:rtl/>
          <w:lang w:val="en-US"/>
        </w:rPr>
        <w:t>4</w:t>
      </w:r>
      <w:r w:rsidRPr="00D446AB">
        <w:rPr>
          <w:lang w:val="en-US"/>
        </w:rPr>
        <w:t xml:space="preserve">] P. Feeney and M. C. Hughes, "Evaluating the Use of Reconstruction Error for Novelty Localization," in </w:t>
      </w:r>
      <w:r w:rsidRPr="00D446AB">
        <w:rPr>
          <w:i/>
          <w:iCs/>
          <w:lang w:val="en-US"/>
        </w:rPr>
        <w:t>Proc. UDL for All Workshop</w:t>
      </w:r>
      <w:r w:rsidRPr="00D446AB">
        <w:rPr>
          <w:lang w:val="en-US"/>
        </w:rPr>
        <w:t>, 2021.</w:t>
      </w:r>
      <w:r>
        <w:rPr>
          <w:lang w:val="en-US"/>
        </w:rPr>
        <w:tab/>
      </w:r>
      <w:r>
        <w:rPr>
          <w:lang w:val="en-US"/>
        </w:rPr>
        <w:tab/>
      </w:r>
      <w:r>
        <w:rPr>
          <w:lang w:val="en-US"/>
        </w:rPr>
        <w:tab/>
      </w:r>
      <w:r>
        <w:rPr>
          <w:lang w:val="en-US"/>
        </w:rPr>
        <w:tab/>
      </w:r>
      <w:r w:rsidRPr="00D446AB">
        <w:rPr>
          <w:lang w:val="en-US"/>
        </w:rPr>
        <w:t xml:space="preserve"> Available: </w:t>
      </w:r>
      <w:bookmarkStart w:id="0" w:name="_Hlk212151811"/>
      <w:r>
        <w:rPr>
          <w:lang w:val="en-US"/>
        </w:rPr>
        <w:fldChar w:fldCharType="begin"/>
      </w:r>
      <w:r>
        <w:rPr>
          <w:lang w:val="en-US"/>
        </w:rPr>
        <w:instrText>HYPERLINK "https://www.michaelchughes.com/papers/FeeneyHughes_UDL_2021.pdf"</w:instrText>
      </w:r>
      <w:r>
        <w:rPr>
          <w:lang w:val="en-US"/>
        </w:rPr>
      </w:r>
      <w:r>
        <w:rPr>
          <w:lang w:val="en-US"/>
        </w:rPr>
        <w:fldChar w:fldCharType="separate"/>
      </w:r>
      <w:r w:rsidRPr="00D446AB">
        <w:rPr>
          <w:rStyle w:val="Hyperlink"/>
          <w:lang w:val="en-US"/>
        </w:rPr>
        <w:t>https://www.michaelchughes.com/papers/FeeneyHughes_UDL_2021.pdf</w:t>
      </w:r>
      <w:bookmarkEnd w:id="0"/>
      <w:r>
        <w:rPr>
          <w:lang w:val="en-US"/>
        </w:rPr>
        <w:fldChar w:fldCharType="end"/>
      </w:r>
    </w:p>
    <w:p w14:paraId="775ED967" w14:textId="77777777" w:rsidR="00F12C76" w:rsidRDefault="00F12C76" w:rsidP="00D446AB">
      <w:pPr>
        <w:rPr>
          <w:rtl/>
          <w:lang w:val="en-US"/>
        </w:rPr>
      </w:pPr>
    </w:p>
    <w:p w14:paraId="136A68AF" w14:textId="03AEF804" w:rsidR="00F0427E" w:rsidRDefault="00F0427E" w:rsidP="00F0427E">
      <w:pPr>
        <w:rPr>
          <w:lang w:val="en-US"/>
        </w:rPr>
      </w:pPr>
      <w:r w:rsidRPr="00F0427E">
        <w:rPr>
          <w:b/>
          <w:bCs/>
          <w:lang w:val="en-US"/>
        </w:rPr>
        <w:t>[Fig1, Fig2]</w:t>
      </w:r>
    </w:p>
    <w:p w14:paraId="25FC36A7" w14:textId="55652FE5" w:rsidR="00F0427E" w:rsidRPr="00F0427E" w:rsidRDefault="00F0427E" w:rsidP="00F0427E">
      <w:pPr>
        <w:rPr>
          <w:lang w:val="en-US"/>
        </w:rPr>
      </w:pPr>
      <w:r w:rsidRPr="00F0427E">
        <w:rPr>
          <w:b/>
          <w:bCs/>
          <w:lang w:val="en-US"/>
        </w:rPr>
        <w:t>Research and Practice in Visual Impairment and Blindness</w:t>
      </w:r>
      <w:r w:rsidRPr="00F0427E">
        <w:rPr>
          <w:lang w:val="en-US"/>
        </w:rPr>
        <w:t xml:space="preserve"> </w:t>
      </w:r>
      <w:r w:rsidRPr="00F0427E">
        <w:rPr>
          <w:b/>
          <w:bCs/>
          <w:lang w:val="en-US"/>
        </w:rPr>
        <w:t>aerj-04-02-01.3d</w:t>
      </w:r>
      <w:r w:rsidRPr="00F0427E">
        <w:rPr>
          <w:lang w:val="en-US"/>
        </w:rPr>
        <w:t xml:space="preserve"> </w:t>
      </w:r>
    </w:p>
    <w:p w14:paraId="2C21E5F1" w14:textId="2FB49C94" w:rsidR="00F0427E" w:rsidRPr="00F0427E" w:rsidRDefault="00F0427E" w:rsidP="00F0427E">
      <w:pPr>
        <w:rPr>
          <w:lang w:val="en-US"/>
        </w:rPr>
      </w:pPr>
      <w:r w:rsidRPr="00F0427E">
        <w:rPr>
          <w:lang w:val="en-US"/>
        </w:rPr>
        <w:t>Roberto Manduchi, PhD* Sri Kurniawan, PhD University of Santa Cruz Santa Cruz, CA</w:t>
      </w:r>
      <w:r w:rsidR="0021696F">
        <w:rPr>
          <w:lang w:val="en-US"/>
        </w:rPr>
        <w:t xml:space="preserve">. </w:t>
      </w:r>
      <w:r w:rsidR="0021696F">
        <w:rPr>
          <w:lang w:val="en-US"/>
        </w:rPr>
        <w:t>20</w:t>
      </w:r>
      <w:r w:rsidR="0021696F" w:rsidRPr="00F0427E">
        <w:rPr>
          <w:lang w:val="en-US"/>
        </w:rPr>
        <w:t>25</w:t>
      </w:r>
    </w:p>
    <w:p w14:paraId="38702D72" w14:textId="41572C95" w:rsidR="00F0427E" w:rsidRPr="00F0427E" w:rsidRDefault="00F0427E" w:rsidP="00D446AB">
      <w:pPr>
        <w:rPr>
          <w:b/>
          <w:bCs/>
          <w:lang w:val="en-US"/>
        </w:rPr>
      </w:pPr>
      <w:r>
        <w:rPr>
          <w:lang w:val="en-US"/>
        </w:rPr>
        <w:t xml:space="preserve">Available: </w:t>
      </w:r>
      <w:hyperlink r:id="rId11" w:history="1">
        <w:r w:rsidRPr="00F0427E">
          <w:rPr>
            <w:rStyle w:val="Hyperlink"/>
            <w:lang w:val="en-US"/>
          </w:rPr>
          <w:t>https://users.soe.ucsc.edu/~manduchi/papers/MobilityAccidents.pdf</w:t>
        </w:r>
      </w:hyperlink>
    </w:p>
    <w:sectPr w:rsidR="00F0427E" w:rsidRPr="00F0427E" w:rsidSect="00A8320E">
      <w:pgSz w:w="11906" w:h="16838" w:code="9"/>
      <w:pgMar w:top="1440" w:right="1080" w:bottom="1440" w:left="108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2F1"/>
    <w:multiLevelType w:val="multilevel"/>
    <w:tmpl w:val="FDE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01C4"/>
    <w:multiLevelType w:val="hybridMultilevel"/>
    <w:tmpl w:val="B554E1E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1C133242"/>
    <w:multiLevelType w:val="hybridMultilevel"/>
    <w:tmpl w:val="AC387BB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1D3E0168"/>
    <w:multiLevelType w:val="multilevel"/>
    <w:tmpl w:val="5318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CB4E3E"/>
    <w:multiLevelType w:val="hybridMultilevel"/>
    <w:tmpl w:val="CDB0990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5B051D98"/>
    <w:multiLevelType w:val="hybridMultilevel"/>
    <w:tmpl w:val="2DEAB49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789161552">
    <w:abstractNumId w:val="3"/>
  </w:num>
  <w:num w:numId="2" w16cid:durableId="729815874">
    <w:abstractNumId w:val="0"/>
  </w:num>
  <w:num w:numId="3" w16cid:durableId="1468086170">
    <w:abstractNumId w:val="4"/>
  </w:num>
  <w:num w:numId="4" w16cid:durableId="1454592701">
    <w:abstractNumId w:val="5"/>
  </w:num>
  <w:num w:numId="5" w16cid:durableId="929117897">
    <w:abstractNumId w:val="1"/>
  </w:num>
  <w:num w:numId="6" w16cid:durableId="968047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0E"/>
    <w:rsid w:val="001C1941"/>
    <w:rsid w:val="0021696F"/>
    <w:rsid w:val="002C4375"/>
    <w:rsid w:val="003701A0"/>
    <w:rsid w:val="00441C68"/>
    <w:rsid w:val="005A4CE5"/>
    <w:rsid w:val="006C0B77"/>
    <w:rsid w:val="008242FF"/>
    <w:rsid w:val="0083303B"/>
    <w:rsid w:val="00870751"/>
    <w:rsid w:val="00922C48"/>
    <w:rsid w:val="00943D1E"/>
    <w:rsid w:val="009C1F19"/>
    <w:rsid w:val="00A8320E"/>
    <w:rsid w:val="00B915B7"/>
    <w:rsid w:val="00C2636E"/>
    <w:rsid w:val="00CB46FE"/>
    <w:rsid w:val="00D446AB"/>
    <w:rsid w:val="00DB46E6"/>
    <w:rsid w:val="00E85059"/>
    <w:rsid w:val="00EA59DF"/>
    <w:rsid w:val="00EE4070"/>
    <w:rsid w:val="00EE5DD8"/>
    <w:rsid w:val="00F0427E"/>
    <w:rsid w:val="00F12C76"/>
    <w:rsid w:val="00F21739"/>
    <w:rsid w:val="00FF489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1176"/>
  <w15:chartTrackingRefBased/>
  <w15:docId w15:val="{EFAB19C8-6A76-4101-9CB6-B7318864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832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832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320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8320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8320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832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32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32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32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2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832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32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320E"/>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8320E"/>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8320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8320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8320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8320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83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20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83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20E"/>
    <w:pPr>
      <w:spacing w:before="160"/>
      <w:jc w:val="center"/>
    </w:pPr>
    <w:rPr>
      <w:i/>
      <w:iCs/>
      <w:color w:val="404040" w:themeColor="text1" w:themeTint="BF"/>
    </w:rPr>
  </w:style>
  <w:style w:type="character" w:customStyle="1" w:styleId="QuoteChar">
    <w:name w:val="Quote Char"/>
    <w:basedOn w:val="DefaultParagraphFont"/>
    <w:link w:val="Quote"/>
    <w:uiPriority w:val="29"/>
    <w:rsid w:val="00A8320E"/>
    <w:rPr>
      <w:rFonts w:ascii="Times New Roman" w:hAnsi="Times New Roman"/>
      <w:i/>
      <w:iCs/>
      <w:color w:val="404040" w:themeColor="text1" w:themeTint="BF"/>
      <w:sz w:val="28"/>
    </w:rPr>
  </w:style>
  <w:style w:type="paragraph" w:styleId="ListParagraph">
    <w:name w:val="List Paragraph"/>
    <w:basedOn w:val="Normal"/>
    <w:uiPriority w:val="34"/>
    <w:qFormat/>
    <w:rsid w:val="00A8320E"/>
    <w:pPr>
      <w:ind w:left="720"/>
      <w:contextualSpacing/>
    </w:pPr>
  </w:style>
  <w:style w:type="character" w:styleId="IntenseEmphasis">
    <w:name w:val="Intense Emphasis"/>
    <w:basedOn w:val="DefaultParagraphFont"/>
    <w:uiPriority w:val="21"/>
    <w:qFormat/>
    <w:rsid w:val="00A8320E"/>
    <w:rPr>
      <w:i/>
      <w:iCs/>
      <w:color w:val="2E74B5" w:themeColor="accent1" w:themeShade="BF"/>
    </w:rPr>
  </w:style>
  <w:style w:type="paragraph" w:styleId="IntenseQuote">
    <w:name w:val="Intense Quote"/>
    <w:basedOn w:val="Normal"/>
    <w:next w:val="Normal"/>
    <w:link w:val="IntenseQuoteChar"/>
    <w:uiPriority w:val="30"/>
    <w:qFormat/>
    <w:rsid w:val="00A832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320E"/>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8320E"/>
    <w:rPr>
      <w:b/>
      <w:bCs/>
      <w:smallCaps/>
      <w:color w:val="2E74B5" w:themeColor="accent1" w:themeShade="BF"/>
      <w:spacing w:val="5"/>
    </w:rPr>
  </w:style>
  <w:style w:type="character" w:styleId="Hyperlink">
    <w:name w:val="Hyperlink"/>
    <w:basedOn w:val="DefaultParagraphFont"/>
    <w:uiPriority w:val="99"/>
    <w:unhideWhenUsed/>
    <w:rsid w:val="00D446AB"/>
    <w:rPr>
      <w:color w:val="0563C1" w:themeColor="hyperlink"/>
      <w:u w:val="single"/>
    </w:rPr>
  </w:style>
  <w:style w:type="character" w:styleId="UnresolvedMention">
    <w:name w:val="Unresolved Mention"/>
    <w:basedOn w:val="DefaultParagraphFont"/>
    <w:uiPriority w:val="99"/>
    <w:semiHidden/>
    <w:unhideWhenUsed/>
    <w:rsid w:val="00D446AB"/>
    <w:rPr>
      <w:color w:val="605E5C"/>
      <w:shd w:val="clear" w:color="auto" w:fill="E1DFDD"/>
    </w:rPr>
  </w:style>
  <w:style w:type="character" w:styleId="FollowedHyperlink">
    <w:name w:val="FollowedHyperlink"/>
    <w:basedOn w:val="DefaultParagraphFont"/>
    <w:uiPriority w:val="99"/>
    <w:semiHidden/>
    <w:unhideWhenUsed/>
    <w:rsid w:val="00D446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433-024-02961-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users.soe.ucsc.edu/~manduchi/papers/MobilityAccidents.pdf" TargetMode="External"/><Relationship Id="rId5" Type="http://schemas.openxmlformats.org/officeDocument/2006/relationships/webSettings" Target="webSettings.xml"/><Relationship Id="rId10" Type="http://schemas.openxmlformats.org/officeDocument/2006/relationships/hyperlink" Target="https://arxiv.org/html/2504.20078v1" TargetMode="External"/><Relationship Id="rId4" Type="http://schemas.openxmlformats.org/officeDocument/2006/relationships/settings" Target="settings.xml"/><Relationship Id="rId9" Type="http://schemas.openxmlformats.org/officeDocument/2006/relationships/hyperlink" Target="https://arxiv.org/html/2503.15494v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E4CC4-4371-4108-AE2B-B125415F0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Ashraf</dc:creator>
  <cp:keywords/>
  <dc:description/>
  <cp:lastModifiedBy>Ziad Ashraf</cp:lastModifiedBy>
  <cp:revision>2</cp:revision>
  <cp:lastPrinted>2025-10-23T19:45:00Z</cp:lastPrinted>
  <dcterms:created xsi:type="dcterms:W3CDTF">2025-10-23T20:30:00Z</dcterms:created>
  <dcterms:modified xsi:type="dcterms:W3CDTF">2025-10-23T20:30:00Z</dcterms:modified>
</cp:coreProperties>
</file>