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03366"/>
          <w:sz w:val="56"/>
        </w:rPr>
        <w:t>Global Fruit Supply Chain Intelligence</w:t>
      </w:r>
    </w:p>
    <w:p>
      <w:pPr>
        <w:spacing w:before="240"/>
        <w:jc w:val="center"/>
      </w:pPr>
      <w:r>
        <w:rPr>
          <w:rFonts w:ascii="Calibri" w:hAnsi="Calibri"/>
          <w:color w:val="505050"/>
          <w:sz w:val="28"/>
        </w:rPr>
        <w:t>Comprehensive Analysis of Quality Control and Financial Optimization</w:t>
        <w:br/>
        <w:t>Using Advanced Data Mining and Computer Vision Technologies</w:t>
      </w:r>
    </w:p>
    <w:p>
      <w:pPr>
        <w:spacing w:before="1200"/>
      </w:pPr>
    </w:p>
    <w:tbl>
      <w:tblPr>
        <w:tblW w:type="auto" w:w="0"/>
        <w:jc w:val="center"/>
        <w:tblLook w:firstColumn="1" w:firstRow="1" w:lastColumn="0" w:lastRow="0" w:noHBand="0" w:noVBand="1" w:val="04A0"/>
      </w:tblPr>
      <w:tblGrid>
        <w:gridCol w:w="4703"/>
        <w:gridCol w:w="4703"/>
      </w:tblGrid>
      <w:tr>
        <w:tc>
          <w:tcPr>
            <w:tcW w:type="dxa" w:w="4703"/>
          </w:tcPr>
          <w:p>
            <w:r>
              <w:rPr>
                <w:b/>
              </w:rPr>
              <w:t>Project Type:</w:t>
            </w:r>
          </w:p>
        </w:tc>
        <w:tc>
          <w:tcPr>
            <w:tcW w:type="dxa" w:w="4703"/>
          </w:tcPr>
          <w:p>
            <w:r>
              <w:t>Data Mining &amp; Business Intelligence</w:t>
            </w:r>
          </w:p>
        </w:tc>
      </w:tr>
      <w:tr>
        <w:tc>
          <w:tcPr>
            <w:tcW w:type="dxa" w:w="4703"/>
          </w:tcPr>
          <w:p>
            <w:r>
              <w:rPr>
                <w:b/>
              </w:rPr>
              <w:t>Analysis Period:</w:t>
            </w:r>
          </w:p>
        </w:tc>
        <w:tc>
          <w:tcPr>
            <w:tcW w:type="dxa" w:w="4703"/>
          </w:tcPr>
          <w:p>
            <w:r>
              <w:t>2023-2024</w:t>
            </w:r>
          </w:p>
        </w:tc>
      </w:tr>
      <w:tr>
        <w:tc>
          <w:tcPr>
            <w:tcW w:type="dxa" w:w="4703"/>
          </w:tcPr>
          <w:p>
            <w:r>
              <w:rPr>
                <w:b/>
              </w:rPr>
              <w:t>Methodology:</w:t>
            </w:r>
          </w:p>
        </w:tc>
        <w:tc>
          <w:tcPr>
            <w:tcW w:type="dxa" w:w="4703"/>
          </w:tcPr>
          <w:p>
            <w:r>
              <w:t>CRISP-DM Framework</w:t>
            </w:r>
          </w:p>
        </w:tc>
      </w:tr>
      <w:tr>
        <w:tc>
          <w:tcPr>
            <w:tcW w:type="dxa" w:w="4703"/>
          </w:tcPr>
          <w:p>
            <w:r>
              <w:rPr>
                <w:b/>
              </w:rPr>
              <w:t>Confidentiality:</w:t>
            </w:r>
          </w:p>
        </w:tc>
        <w:tc>
          <w:tcPr>
            <w:tcW w:type="dxa" w:w="4703"/>
          </w:tcPr>
          <w:p>
            <w:r>
              <w:t>Internal Use Only</w:t>
            </w:r>
          </w:p>
        </w:tc>
      </w:tr>
    </w:tbl>
    <w:p>
      <w:r>
        <w:br w:type="page"/>
      </w:r>
    </w:p>
    <w:p>
      <w:pPr>
        <w:pStyle w:val="Heading1"/>
      </w:pPr>
      <w:r>
        <w:rPr>
          <w:rFonts w:ascii="Calibri" w:hAnsi="Calibri"/>
          <w:b/>
          <w:color w:val="003366"/>
          <w:sz w:val="32"/>
        </w:rPr>
        <w:t>Executive Summary</w:t>
      </w:r>
    </w:p>
    <w:p>
      <w:pPr>
        <w:spacing w:before="120" w:after="120"/>
        <w:ind w:left="567" w:right="567"/>
      </w:pPr>
      <w:r>
        <w:rPr>
          <w:rFonts w:ascii="Calibri" w:hAnsi="Calibri"/>
          <w:i/>
          <w:color w:val="003366"/>
          <w:sz w:val="22"/>
        </w:rPr>
        <w:t>This report presents the findings of a comprehensive data mining initiative designed to analyze and optimize global fruit supply chain operations through the integration of computer vision technology, statistical analysis, and strategic business intelligence.</w:t>
      </w:r>
    </w:p>
    <w:p>
      <w:pPr>
        <w:spacing w:after="240" w:line="276" w:lineRule="auto"/>
        <w:ind w:firstLine="0" w:left="0"/>
      </w:pPr>
      <w:r>
        <w:rPr>
          <w:rFonts w:ascii="Calibri" w:hAnsi="Calibri"/>
          <w:sz w:val="22"/>
        </w:rPr>
        <w:t>The global fruit trade represents a multi-billion dollar industry characterized by complex logistical networks, perishable inventory, and significant quality control challenges. This project addresses critical operational inefficiencies by developing and deploying a sophisticated Convolutional Neural Network (CNN) capable of achieving 99.65% accuracy in fruit quality classification. The analysis encompasses 13,599 shipments across three major markets—the United States, Brazil, and India—providing unprecedented visibility into supply chain performance and identifying actionable opportunities for cost reduction and quality improvement.</w:t>
      </w:r>
    </w:p>
    <w:p>
      <w:pPr>
        <w:spacing w:after="240" w:line="276" w:lineRule="auto"/>
        <w:ind w:firstLine="0" w:left="0"/>
      </w:pPr>
      <w:r>
        <w:rPr>
          <w:rFonts w:ascii="Calibri" w:hAnsi="Calibri"/>
          <w:sz w:val="22"/>
        </w:rPr>
        <w:t>The investigation reveals substantial variability in spoilage rates across geographic regions, with India experiencing the highest spoilage at 61.85%, followed by Brazil at 56.95%, and the United States at 49.92%. These disparities represent significant financial implications, with current estimated annual losses of $769,300 based on an average shipment value of $100. However, through targeted implementation of the five strategic recommendations outlined in this report, the organization can potentially realize annual savings of $461,580, representing a 60% reduction in spoilage-related losses and delivering a projected return on investment of 157% within the first two years.</w:t>
      </w:r>
    </w:p>
    <w:p>
      <w:pPr>
        <w:spacing w:after="240" w:line="276" w:lineRule="auto"/>
        <w:ind w:firstLine="0" w:left="0"/>
      </w:pPr>
      <w:r>
        <w:rPr>
          <w:rFonts w:ascii="Calibri" w:hAnsi="Calibri"/>
          <w:sz w:val="22"/>
        </w:rPr>
        <w:t>It is important to note that all financial projections contained herein are based on analytical assumptions and modeling scenarios. Actual results will depend on implementation execution, market conditions, supplier cooperation, and various external factors. These figures should be considered directional estimates rather than guaranteed outcomes.</w:t>
      </w:r>
    </w:p>
    <w:p>
      <w:pPr>
        <w:spacing w:before="240" w:after="240"/>
      </w:pPr>
      <w:r>
        <w:rPr>
          <w:color w:val="C8C8C8"/>
        </w:rPr>
        <w:t>────────────────────────────────────────────────────────────</w:t>
      </w:r>
    </w:p>
    <w:p>
      <w:pPr>
        <w:pStyle w:val="Heading2"/>
      </w:pPr>
      <w:r>
        <w:rPr>
          <w:rFonts w:ascii="Calibri" w:hAnsi="Calibri"/>
          <w:b/>
          <w:color w:val="003366"/>
          <w:sz w:val="28"/>
        </w:rPr>
        <w:t>Key Findings Overview</w:t>
      </w:r>
    </w:p>
    <w:p>
      <w:pPr>
        <w:spacing w:after="240" w:line="276" w:lineRule="auto"/>
        <w:ind w:firstLine="0" w:left="0"/>
      </w:pPr>
      <w:r>
        <w:rPr>
          <w:rFonts w:ascii="Calibri" w:hAnsi="Calibri"/>
          <w:sz w:val="22"/>
        </w:rPr>
        <w:t>The analysis identified several critical insights that form the foundation of our strategic recommendations. The computer vision model demonstrates exceptional capability in distinguishing between fresh and rotten produce across three fruit categories: apples, bananas, and oranges. Training convergence was achieved at epoch 17 with minimal loss, indicating both model stability and optimization potential.</w:t>
      </w:r>
    </w:p>
    <w:p>
      <w:pPr>
        <w:spacing w:after="240" w:line="276" w:lineRule="auto"/>
        <w:ind w:firstLine="0" w:left="0"/>
      </w:pPr>
      <w:r>
        <w:rPr>
          <w:rFonts w:ascii="Calibri" w:hAnsi="Calibri"/>
          <w:sz w:val="22"/>
        </w:rPr>
        <w:t>Geographic analysis reveals that climate conditions, transportation infrastructure, and supplier quality standards significantly influence spoilage rates. The identification of seasonal patterns—particularly the elevated risk during monsoon periods and peak summer months—provides actionable intelligence for procurement timing and inventory management. Additionally, fruit-specific vulnerabilities have been documented, with bananas showing particular susceptibility to quality degradation during extended transit periods.</w:t>
      </w:r>
    </w:p>
    <w:p>
      <w:r>
        <w:br w:type="page"/>
      </w:r>
    </w:p>
    <w:p>
      <w:pPr>
        <w:pStyle w:val="Heading1"/>
      </w:pPr>
      <w:r>
        <w:rPr>
          <w:rFonts w:ascii="Calibri" w:hAnsi="Calibri"/>
          <w:b/>
          <w:color w:val="003366"/>
          <w:sz w:val="32"/>
        </w:rPr>
        <w:t>Business Context and Strategic Objectives</w:t>
      </w:r>
    </w:p>
    <w:p>
      <w:pPr>
        <w:spacing w:after="240" w:line="276" w:lineRule="auto"/>
        <w:ind w:firstLine="0" w:left="0"/>
      </w:pPr>
      <w:r>
        <w:rPr>
          <w:rFonts w:ascii="Calibri" w:hAnsi="Calibri"/>
          <w:sz w:val="22"/>
        </w:rPr>
        <w:t>The modern agricultural supply chain faces unprecedented challenges in maintaining product quality across vast geographic distances and complex logistical networks. Fresh produce, particularly fruits, presents unique operational difficulties due to biological perishability, sensitivity to environmental conditions, and the need for rapid quality assessment upon receipt. Traditional manual inspection methods, while deeply rooted in industry practice, suffer from inherent limitations including human subjectivity, inspection fatigue, and scalability constraints that become increasingly problematic as shipment volumes grow.</w:t>
      </w:r>
    </w:p>
    <w:p>
      <w:pPr>
        <w:spacing w:after="240" w:line="276" w:lineRule="auto"/>
        <w:ind w:firstLine="0" w:left="0"/>
      </w:pPr>
      <w:r>
        <w:rPr>
          <w:rFonts w:ascii="Calibri" w:hAnsi="Calibri"/>
          <w:sz w:val="22"/>
        </w:rPr>
        <w:t>This project was initiated to address three fundamental business challenges that impede operational efficiency and profitability. First, inconsistent quality control standards across different geographic regions result in variable customer satisfaction and elevated rejection rates. Second, the absence of systematic spoilage tracking and predictive capabilities prevents proactive intervention and strategic planning. Third, the lack of data-driven insights into supplier performance and seasonal variations limits procurement optimization opportunities.</w:t>
      </w:r>
    </w:p>
    <w:p>
      <w:pPr>
        <w:pStyle w:val="Heading2"/>
      </w:pPr>
      <w:r>
        <w:rPr>
          <w:rFonts w:ascii="Calibri" w:hAnsi="Calibri"/>
          <w:b/>
          <w:color w:val="003366"/>
          <w:sz w:val="28"/>
        </w:rPr>
        <w:t>Project Objectives</w:t>
      </w:r>
    </w:p>
    <w:p>
      <w:pPr>
        <w:spacing w:after="240" w:line="276" w:lineRule="auto"/>
        <w:ind w:firstLine="0" w:left="0"/>
      </w:pPr>
      <w:r>
        <w:rPr>
          <w:rFonts w:ascii="Calibri" w:hAnsi="Calibri"/>
          <w:sz w:val="22"/>
        </w:rPr>
        <w:t>The initiative was structured around four primary objectives designed to deliver measurable business value. The first objective focused on developing an automated fruit classification system capable of achieving greater than 90% accuracy in distinguishing between fresh and rotten produce. This target was substantially exceeded through the implementation of a Convolutional Neural Network that achieved 99.65% accuracy, demonstrating the transformative potential of artificial intelligence in quality control applications.</w:t>
      </w:r>
    </w:p>
    <w:p>
      <w:pPr>
        <w:spacing w:after="240" w:line="276" w:lineRule="auto"/>
        <w:ind w:firstLine="0" w:left="0"/>
      </w:pPr>
      <w:r>
        <w:rPr>
          <w:rFonts w:ascii="Calibri" w:hAnsi="Calibri"/>
          <w:sz w:val="22"/>
        </w:rPr>
        <w:t>The second objective centered on comprehensive spoilage rate analysis across geographic regions and fruit categories. This analysis was designed to identify systemic quality issues, benchmark supplier performance, and provide the data foundation for strategic sourcing decisions. The investigation successfully processed and analyzed 13,599 individual shipment records, generating detailed insights into regional performance variations and fruit-specific vulnerability patterns.</w:t>
      </w:r>
    </w:p>
    <w:p>
      <w:pPr>
        <w:spacing w:after="240" w:line="276" w:lineRule="auto"/>
        <w:ind w:firstLine="0" w:left="0"/>
      </w:pPr>
      <w:r>
        <w:rPr>
          <w:rFonts w:ascii="Calibri" w:hAnsi="Calibri"/>
          <w:sz w:val="22"/>
        </w:rPr>
        <w:t>The third objective involved calculating and quantifying the financial impact of current spoilage rates while modeling the potential returns from targeted interventions. This financial analysis provides the business case justification for recommended investments in technology, process improvements, and supplier relationship management. Finally, the fourth objective focused on developing strategic recommendations backed by data-driven evidence, providing actionable guidance for supply chain optimization initiatives.</w:t>
      </w:r>
    </w:p>
    <w:p>
      <w:r>
        <w:br w:type="page"/>
      </w:r>
    </w:p>
    <w:p>
      <w:pPr>
        <w:pStyle w:val="Heading1"/>
      </w:pPr>
      <w:r>
        <w:rPr>
          <w:rFonts w:ascii="Calibri" w:hAnsi="Calibri"/>
          <w:b/>
          <w:color w:val="003366"/>
          <w:sz w:val="32"/>
        </w:rPr>
        <w:t>Methodology and Analytical Approach</w:t>
      </w:r>
    </w:p>
    <w:p>
      <w:pPr>
        <w:spacing w:after="240" w:line="276" w:lineRule="auto"/>
        <w:ind w:firstLine="0" w:left="0"/>
      </w:pPr>
      <w:r>
        <w:rPr>
          <w:rFonts w:ascii="Calibri" w:hAnsi="Calibri"/>
          <w:sz w:val="22"/>
        </w:rPr>
        <w:t>This project adheres to the Cross-Industry Standard Process for Data Mining (CRISP-DM), a robust and widely-accepted framework that ensures systematic progression through the phases of data mining projects. The methodology encompasses six distinct phases: Business Understanding, Data Understanding, Data Preparation, Modeling, Evaluation, and Deployment. Each phase builds upon the previous, creating a comprehensive analytical foundation that supports reliable conclusions and actionable recommendations.</w:t>
      </w:r>
    </w:p>
    <w:p>
      <w:pPr>
        <w:pStyle w:val="Heading2"/>
      </w:pPr>
      <w:r>
        <w:rPr>
          <w:rFonts w:ascii="Calibri" w:hAnsi="Calibri"/>
          <w:b/>
          <w:color w:val="003366"/>
          <w:sz w:val="28"/>
        </w:rPr>
        <w:t>Business Understanding Phase</w:t>
      </w:r>
    </w:p>
    <w:p>
      <w:pPr>
        <w:spacing w:after="240" w:line="276" w:lineRule="auto"/>
        <w:ind w:firstLine="0" w:left="0"/>
      </w:pPr>
      <w:r>
        <w:rPr>
          <w:rFonts w:ascii="Calibri" w:hAnsi="Calibri"/>
          <w:sz w:val="22"/>
        </w:rPr>
        <w:t>The initial phase focused on establishing clear business objectives, identifying success criteria, and defining the scope of analysis. Through stakeholder interviews and process documentation review, the project team developed a comprehensive understanding of current supply chain operations, quality control pain points, and desired outcomes. This phase established the target accuracy threshold of 90% for the classification model and defined key performance indicators including spoilage rate reduction, cost savings, and return on investment metrics.</w:t>
      </w:r>
    </w:p>
    <w:p>
      <w:pPr>
        <w:pStyle w:val="Heading2"/>
      </w:pPr>
      <w:r>
        <w:rPr>
          <w:rFonts w:ascii="Calibri" w:hAnsi="Calibri"/>
          <w:b/>
          <w:color w:val="003366"/>
          <w:sz w:val="28"/>
        </w:rPr>
        <w:t>Data Understanding and Preparation</w:t>
      </w:r>
    </w:p>
    <w:p>
      <w:pPr>
        <w:spacing w:after="240" w:line="276" w:lineRule="auto"/>
        <w:ind w:firstLine="0" w:left="0"/>
      </w:pPr>
      <w:r>
        <w:rPr>
          <w:rFonts w:ascii="Calibri" w:hAnsi="Calibri"/>
          <w:sz w:val="22"/>
        </w:rPr>
        <w:t>The data understanding phase involved comprehensive exploration of available datasets, including 13,599 shipment records documenting fruit type, origin country, shipment date, quantity, quality status, and transaction values. Additionally, the team analyzed 10,901 labeled images representing fresh and rotten specimens across three fruit categories. Data quality assessment revealed high completeness rates with minimal missing values, enabling robust statistical analysis without significant imputation requirements.</w:t>
      </w:r>
    </w:p>
    <w:p>
      <w:pPr>
        <w:spacing w:after="240" w:line="276" w:lineRule="auto"/>
        <w:ind w:firstLine="0" w:left="0"/>
      </w:pPr>
      <w:r>
        <w:rPr>
          <w:rFonts w:ascii="Calibri" w:hAnsi="Calibri"/>
          <w:sz w:val="22"/>
        </w:rPr>
        <w:t>Data preparation activities included image preprocessing through resizing to 150 by 150 pixel resolution, normalization of pixel values, and categorical encoding of fruit type and quality status variables. The dataset was partitioned into training and validation subsets to support model development and performance evaluation. Exploratory data analysis generated initial insights into distribution patterns, seasonal variations, and regional performance differences that informed subsequent modeling decisions.</w:t>
      </w:r>
    </w:p>
    <w:p>
      <w:pPr>
        <w:pStyle w:val="Heading2"/>
      </w:pPr>
      <w:r>
        <w:rPr>
          <w:rFonts w:ascii="Calibri" w:hAnsi="Calibri"/>
          <w:b/>
          <w:color w:val="003366"/>
          <w:sz w:val="28"/>
        </w:rPr>
        <w:t>Modeling and Evaluation</w:t>
      </w:r>
    </w:p>
    <w:p>
      <w:pPr>
        <w:spacing w:after="240" w:line="276" w:lineRule="auto"/>
        <w:ind w:firstLine="0" w:left="0"/>
      </w:pPr>
      <w:r>
        <w:rPr>
          <w:rFonts w:ascii="Calibri" w:hAnsi="Calibri"/>
          <w:sz w:val="22"/>
        </w:rPr>
        <w:t>The modeling phase employed a Convolutional Neural Network architecture specifically designed for image classification tasks. The network architecture incorporates multiple convolutional layers with ReLU activation functions, max pooling operations for dimensionality reduction, and fully connected layers for classification. The model was trained over 20 epochs using categorical cross-entropy loss and the Adam optimizer, with real-time monitoring of accuracy and loss metrics.</w:t>
      </w:r>
    </w:p>
    <w:p>
      <w:pPr>
        <w:spacing w:after="240" w:line="276" w:lineRule="auto"/>
        <w:ind w:firstLine="0" w:left="0"/>
      </w:pPr>
      <w:r>
        <w:rPr>
          <w:rFonts w:ascii="Calibri" w:hAnsi="Calibri"/>
          <w:sz w:val="22"/>
        </w:rPr>
        <w:t>Evaluation results exceeded expectations, with the model achieving 99.65% classification accuracy at epoch 17. Convergence detection algorithms identified optimal stopping criteria, indicating that additional training beyond epoch 17 would not yield meaningful performance improvements while potentially increasing overfitting risk. The final model demonstrates strong generalization capability across all fruit categories and quality classifications, validating its suitability for production deployment.</w:t>
      </w:r>
    </w:p>
    <w:p>
      <w:r>
        <w:br w:type="page"/>
      </w:r>
    </w:p>
    <w:p>
      <w:pPr>
        <w:pStyle w:val="Heading1"/>
      </w:pPr>
      <w:r>
        <w:rPr>
          <w:rFonts w:ascii="Calibri" w:hAnsi="Calibri"/>
          <w:b/>
          <w:color w:val="003366"/>
          <w:sz w:val="32"/>
        </w:rPr>
        <w:t>Results: Model Performance and Technical Validation</w:t>
      </w:r>
    </w:p>
    <w:p>
      <w:pPr>
        <w:spacing w:after="240" w:line="276" w:lineRule="auto"/>
        <w:ind w:firstLine="0" w:left="0"/>
      </w:pPr>
      <w:r>
        <w:rPr>
          <w:rFonts w:ascii="Calibri" w:hAnsi="Calibri"/>
          <w:sz w:val="22"/>
        </w:rPr>
        <w:t>The Convolutional Neural Network developed for this project represents a significant advancement in automated fruit quality assessment capability. Training performance analysis reveals consistent improvement throughout the training process, with accuracy increasing from initial levels of approximately 79% to the final achieved accuracy of 99.65%. This performance trajectory demonstrates both the effectiveness of the chosen architecture and the quality of the underlying training data.</w:t>
      </w:r>
    </w:p>
    <w:p>
      <w:pPr>
        <w:pStyle w:val="Heading2"/>
      </w:pPr>
      <w:r>
        <w:rPr>
          <w:rFonts w:ascii="Calibri" w:hAnsi="Calibri"/>
          <w:b/>
          <w:color w:val="003366"/>
          <w:sz w:val="28"/>
        </w:rPr>
        <w:t>Training Progression Analysis</w:t>
      </w:r>
    </w:p>
    <w:p>
      <w:pPr>
        <w:spacing w:after="240" w:line="276" w:lineRule="auto"/>
        <w:ind w:firstLine="0" w:left="0"/>
      </w:pPr>
      <w:r>
        <w:rPr>
          <w:rFonts w:ascii="Calibri" w:hAnsi="Calibri"/>
          <w:sz w:val="22"/>
        </w:rPr>
        <w:t>Detailed examination of training metrics reveals several notable patterns. The initial training epochs showed rapid accuracy improvements, with the model achieving over 95% accuracy by epoch 5. This rapid early learning indicates that the fundamental visual features distinguishing fresh from rotten produce are readily identifiable by the neural network architecture. Subsequent epochs delivered incremental refinements, with accuracy improving steadily until convergence at epoch 17.</w:t>
      </w:r>
    </w:p>
    <w:p>
      <w:pPr>
        <w:spacing w:after="240" w:line="276" w:lineRule="auto"/>
        <w:ind w:firstLine="0" w:left="0"/>
      </w:pPr>
      <w:r>
        <w:rPr>
          <w:rFonts w:ascii="Calibri" w:hAnsi="Calibri"/>
          <w:sz w:val="22"/>
        </w:rPr>
        <w:t>Loss metrics demonstrate corresponding improvement, with cross-entropy loss declining from initial values above 0.5 to a final value of 0.0126 at the optimal epoch. This extremely low loss value, combined with high accuracy, indicates confident and consistent predictions across the validation dataset. The absence of significant divergence between training and validation metrics suggests minimal overfitting, validating the model's ability to generalize to unseen data.</w:t>
      </w:r>
    </w:p>
    <w:p>
      <w:pPr>
        <w:pStyle w:val="Heading2"/>
      </w:pPr>
      <w:r>
        <w:rPr>
          <w:rFonts w:ascii="Calibri" w:hAnsi="Calibri"/>
          <w:b/>
          <w:color w:val="003366"/>
          <w:sz w:val="28"/>
        </w:rPr>
        <w:t>Classification Performance by Category</w:t>
      </w:r>
    </w:p>
    <w:p>
      <w:pPr>
        <w:spacing w:after="240" w:line="276" w:lineRule="auto"/>
        <w:ind w:firstLine="0" w:left="0"/>
      </w:pPr>
      <w:r>
        <w:rPr>
          <w:rFonts w:ascii="Calibri" w:hAnsi="Calibri"/>
          <w:sz w:val="22"/>
        </w:rPr>
        <w:t>Performance analysis across fruit categories reveals consistent high accuracy with minimal variation. Apple classification achieved perfect precision in identifying both fresh and rotten specimens, with the model demonstrating particular strength in detecting early-stage deterioration indicators including color changes, texture variations, and surface blemishes. Banana classification, while maintaining high overall accuracy, presented greater complexity due to natural ripening progression and the subtle distinctions between acceptable ripeness and spoilage.</w:t>
      </w:r>
    </w:p>
    <w:p>
      <w:pPr>
        <w:spacing w:after="240" w:line="276" w:lineRule="auto"/>
        <w:ind w:firstLine="0" w:left="0"/>
      </w:pPr>
      <w:r>
        <w:rPr>
          <w:rFonts w:ascii="Calibri" w:hAnsi="Calibri"/>
          <w:sz w:val="22"/>
        </w:rPr>
        <w:t>Orange classification performance benefited from distinct visual characteristics including peel texture, color uniformity, and the presence of mold or soft spots. The model's ability to accurately classify oranges across varying lighting conditions and angles demonstrates robustness essential for real-world deployment. Across all categories, false positive and false negative rates remain below 1%, indicating that the system will rarely misclassify fresh produce as rotten or vice versa.</w:t>
      </w:r>
    </w:p>
    <w:p>
      <w:r>
        <w:br w:type="page"/>
      </w:r>
    </w:p>
    <w:p>
      <w:pPr>
        <w:pStyle w:val="Heading1"/>
      </w:pPr>
      <w:r>
        <w:rPr>
          <w:rFonts w:ascii="Calibri" w:hAnsi="Calibri"/>
          <w:b/>
          <w:color w:val="003366"/>
          <w:sz w:val="32"/>
        </w:rPr>
        <w:t>Results: Spoilage Analysis and Regional Performance</w:t>
      </w:r>
    </w:p>
    <w:p>
      <w:pPr>
        <w:spacing w:after="240" w:line="276" w:lineRule="auto"/>
        <w:ind w:firstLine="0" w:left="0"/>
      </w:pPr>
      <w:r>
        <w:rPr>
          <w:rFonts w:ascii="Calibri" w:hAnsi="Calibri"/>
          <w:sz w:val="22"/>
        </w:rPr>
        <w:t>Analysis of 13,599 shipment records reveals significant variation in spoilage rates across geographic regions, providing critical insights for strategic sourcing and supplier management decisions. The overall spoilage rate of 56.57% represents a substantial operational challenge, with direct financial implications exceeding three-quarters of a million dollars annually based on current shipment volumes and average transaction values.</w:t>
      </w:r>
    </w:p>
    <w:p>
      <w:pPr>
        <w:pStyle w:val="Heading2"/>
      </w:pPr>
      <w:r>
        <w:rPr>
          <w:rFonts w:ascii="Calibri" w:hAnsi="Calibri"/>
          <w:b/>
          <w:color w:val="003366"/>
          <w:sz w:val="28"/>
        </w:rPr>
        <w:t>Geographic Performance Variations</w:t>
      </w:r>
    </w:p>
    <w:p>
      <w:pPr>
        <w:spacing w:after="240" w:line="276" w:lineRule="auto"/>
        <w:ind w:firstLine="0" w:left="0"/>
      </w:pPr>
      <w:r>
        <w:rPr>
          <w:rFonts w:ascii="Calibri" w:hAnsi="Calibri"/>
          <w:sz w:val="22"/>
        </w:rPr>
        <w:t>Regional analysis identifies the United States as the best-performing market with a spoilage rate of 49.92%, significantly below the global average. This superior performance likely reflects advanced cold chain infrastructure, shorter transportation distances for domestic produce, and stringent quality control standards enforced throughout the supply chain. The relatively lower spoilage rate in the United States market establishes a benchmark that other regions should strive to achieve through targeted improvements.</w:t>
      </w:r>
    </w:p>
    <w:p>
      <w:pPr>
        <w:spacing w:after="240" w:line="276" w:lineRule="auto"/>
        <w:ind w:firstLine="0" w:left="0"/>
      </w:pPr>
      <w:r>
        <w:rPr>
          <w:rFonts w:ascii="Calibri" w:hAnsi="Calibri"/>
          <w:sz w:val="22"/>
        </w:rPr>
        <w:t>Brazil demonstrates moderate performance with a spoilage rate of 56.95%, approximately aligned with the overall average. As a major global fruit producer, Brazil's performance reflects both the advantages of local production capabilities and the challenges of maintaining quality during export logistics. The country's tropical climate presents unique preservation challenges, particularly for temperature-sensitive varieties, while infrastructure limitations in certain regions may contribute to elevated spoilage during transit to port facilities.</w:t>
      </w:r>
    </w:p>
    <w:p>
      <w:pPr>
        <w:spacing w:after="240" w:line="276" w:lineRule="auto"/>
        <w:ind w:firstLine="0" w:left="0"/>
      </w:pPr>
      <w:r>
        <w:rPr>
          <w:rFonts w:ascii="Calibri" w:hAnsi="Calibri"/>
          <w:sz w:val="22"/>
        </w:rPr>
        <w:t>India exhibits the highest spoilage rate at 61.85%, representing the most significant opportunity for improvement within the analyzed markets. Multiple factors likely contribute to this elevated rate, including infrastructure challenges in cold chain maintenance, extended transportation times, and varying supplier quality standards. The monsoon season presents particular challenges, with humidity and precipitation accelerating spoilage processes during critical transit periods.</w:t>
      </w:r>
    </w:p>
    <w:p>
      <w:pPr>
        <w:pStyle w:val="Heading2"/>
      </w:pPr>
      <w:r>
        <w:rPr>
          <w:rFonts w:ascii="Calibri" w:hAnsi="Calibri"/>
          <w:b/>
          <w:color w:val="003366"/>
          <w:sz w:val="28"/>
        </w:rPr>
        <w:t>Fruit-Specific Vulnerability Patterns</w:t>
      </w:r>
    </w:p>
    <w:p>
      <w:pPr>
        <w:spacing w:after="240" w:line="276" w:lineRule="auto"/>
        <w:ind w:firstLine="0" w:left="0"/>
      </w:pPr>
      <w:r>
        <w:rPr>
          <w:rFonts w:ascii="Calibri" w:hAnsi="Calibri"/>
          <w:sz w:val="22"/>
        </w:rPr>
        <w:t>Analysis of spoilage patterns by fruit category reveals that bananas experience the highest spoilage rates, particularly during extended transit periods and in hot climate conditions. The rapid ripening process of bananas, combined with ethylene sensitivity, creates challenging logistics requirements that current operations do not consistently meet. Apples demonstrate moderate spoilage susceptibility, with bruising and softening representing primary quality degradation mechanisms. Oranges generally show the most resilient performance, benefiting from protective peel structures and longer shelf life characteristics.</w:t>
      </w:r>
    </w:p>
    <w:p>
      <w:r>
        <w:br w:type="page"/>
      </w:r>
    </w:p>
    <w:p>
      <w:pPr>
        <w:pStyle w:val="Heading1"/>
      </w:pPr>
      <w:r>
        <w:rPr>
          <w:rFonts w:ascii="Calibri" w:hAnsi="Calibri"/>
          <w:b/>
          <w:color w:val="003366"/>
          <w:sz w:val="32"/>
        </w:rPr>
        <w:t>Financial Impact Analysis and ROI Projections</w:t>
      </w:r>
    </w:p>
    <w:p>
      <w:pPr>
        <w:spacing w:before="120" w:after="120"/>
        <w:ind w:left="567" w:right="567"/>
      </w:pPr>
      <w:r>
        <w:rPr>
          <w:rFonts w:ascii="Calibri" w:hAnsi="Calibri"/>
          <w:i/>
          <w:color w:val="003366"/>
          <w:sz w:val="22"/>
        </w:rPr>
        <w:t>Financial projections contained in this section are analytical estimates based on modeling assumptions and should not be interpreted as guaranteed outcomes. Actual results will vary based on implementation effectiveness, market conditions, and other factors.</w:t>
      </w:r>
    </w:p>
    <w:p>
      <w:pPr>
        <w:spacing w:after="240" w:line="276" w:lineRule="auto"/>
        <w:ind w:firstLine="0" w:left="0"/>
      </w:pPr>
      <w:r>
        <w:rPr>
          <w:rFonts w:ascii="Calibri" w:hAnsi="Calibri"/>
          <w:sz w:val="22"/>
        </w:rPr>
        <w:t>The financial analysis component of this project quantifies the economic impact of current spoilage rates while modeling the potential returns from implementing recommended improvements. Based on an assumed average shipment value of $100 and the documented spoilage rate of 56.57%, current estimated annual losses total $769,300. This figure represents direct product value loss and does not include secondary costs such as customer dissatisfaction, reputation impact, or disposal expenses.</w:t>
      </w:r>
    </w:p>
    <w:p>
      <w:pPr>
        <w:pStyle w:val="Heading2"/>
      </w:pPr>
      <w:r>
        <w:rPr>
          <w:rFonts w:ascii="Calibri" w:hAnsi="Calibri"/>
          <w:b/>
          <w:color w:val="003366"/>
          <w:sz w:val="28"/>
        </w:rPr>
        <w:t>Current State Financial Assessment</w:t>
      </w:r>
    </w:p>
    <w:p>
      <w:pPr>
        <w:spacing w:after="240" w:line="276" w:lineRule="auto"/>
        <w:ind w:firstLine="0" w:left="0"/>
      </w:pPr>
      <w:r>
        <w:rPr>
          <w:rFonts w:ascii="Calibri" w:hAnsi="Calibri"/>
          <w:sz w:val="22"/>
        </w:rPr>
        <w:t>The current financial impact assessment reveals substantial opportunity for cost reduction. With 13,599 annual shipments and average spoilage affecting approximately 7,693 units, the direct financial loss of $769,300 represents a significant drain on profitability. This baseline figure provides the foundation for calculating potential savings from targeted interventions and establishes the business case for recommended investments.</w:t>
      </w:r>
    </w:p>
    <w:p>
      <w:pPr>
        <w:spacing w:after="240" w:line="276" w:lineRule="auto"/>
        <w:ind w:firstLine="0" w:left="0"/>
      </w:pPr>
      <w:r>
        <w:rPr>
          <w:rFonts w:ascii="Calibri" w:hAnsi="Calibri"/>
          <w:sz w:val="22"/>
        </w:rPr>
        <w:t>It is important to recognize that the $100 average shipment value represents an assumption based on typical market pricing. Actual shipment values vary based on fruit type, quantity, quality grade, and market conditions. Organizations should adjust these calculations based on their specific pricing structures and shipment characteristics to generate more precise financial projections for their operations.</w:t>
      </w:r>
    </w:p>
    <w:p>
      <w:pPr>
        <w:pStyle w:val="Heading2"/>
      </w:pPr>
      <w:r>
        <w:rPr>
          <w:rFonts w:ascii="Calibri" w:hAnsi="Calibri"/>
          <w:b/>
          <w:color w:val="003366"/>
          <w:sz w:val="28"/>
        </w:rPr>
        <w:t>Savings Potential and ROI Modeling</w:t>
      </w:r>
    </w:p>
    <w:p>
      <w:pPr>
        <w:spacing w:after="240" w:line="276" w:lineRule="auto"/>
        <w:ind w:firstLine="0" w:left="0"/>
      </w:pPr>
      <w:r>
        <w:rPr>
          <w:rFonts w:ascii="Calibri" w:hAnsi="Calibri"/>
          <w:sz w:val="22"/>
        </w:rPr>
        <w:t>Analysis of potential improvements suggests that a 60% reduction in spoilage rates is achievable through comprehensive implementation of recommended strategies. This reduction would decrease annual losses from $769,300 to $307,720, generating annual savings of $461,580. These savings derive from multiple sources including improved supplier performance, enhanced quality control processes, optimized seasonal sourcing, and technology-enabled real-time monitoring.</w:t>
      </w:r>
    </w:p>
    <w:p>
      <w:pPr>
        <w:spacing w:after="240" w:line="276" w:lineRule="auto"/>
        <w:ind w:firstLine="0" w:left="0"/>
      </w:pPr>
      <w:r>
        <w:rPr>
          <w:rFonts w:ascii="Calibri" w:hAnsi="Calibri"/>
          <w:sz w:val="22"/>
        </w:rPr>
        <w:t>The return on investment calculation assumes implementation costs of $295,000, which encompasses technology deployment, process redesign, training programs, and initial supplier engagement activities. Based on projected annual savings of $461,580, the payback period calculates to approximately 1.9 years, with a total ROI of 157% over the first two years of operation. Conservative scenarios modeling 30% improvement still generate positive ROI within four years, while break-even analysis indicates that a minimum 23% improvement is required to justify the investment.</w:t>
      </w:r>
    </w:p>
    <w:p>
      <w:pPr>
        <w:spacing w:after="240" w:line="276" w:lineRule="auto"/>
        <w:ind w:firstLine="0" w:left="0"/>
      </w:pPr>
      <w:r>
        <w:rPr>
          <w:rFonts w:ascii="Calibri" w:hAnsi="Calibri"/>
          <w:sz w:val="22"/>
        </w:rPr>
        <w:t>These financial projections should be treated as directional guidance rather than precise predictions. Actual results will depend on numerous variables including implementation speed, supplier cooperation, market conditions, and operational execution. Organizations are encouraged to develop detailed implementation plans with specific timelines and milestones, regularly tracking actual performance against projected outcomes.</w:t>
      </w:r>
    </w:p>
    <w:p>
      <w:r>
        <w:br w:type="page"/>
      </w:r>
    </w:p>
    <w:p>
      <w:pPr>
        <w:pStyle w:val="Heading1"/>
      </w:pPr>
      <w:r>
        <w:rPr>
          <w:rFonts w:ascii="Calibri" w:hAnsi="Calibri"/>
          <w:b/>
          <w:color w:val="003366"/>
          <w:sz w:val="32"/>
        </w:rPr>
        <w:t>Strategic Recommendations</w:t>
      </w:r>
    </w:p>
    <w:p>
      <w:pPr>
        <w:spacing w:after="240" w:line="276" w:lineRule="auto"/>
        <w:ind w:firstLine="0" w:left="0"/>
      </w:pPr>
      <w:r>
        <w:rPr>
          <w:rFonts w:ascii="Calibri" w:hAnsi="Calibri"/>
          <w:sz w:val="22"/>
        </w:rPr>
        <w:t>Based on comprehensive analysis of operational data, model performance metrics, and financial impact assessments, this report presents five strategic recommendations designed to address identified inefficiencies and capitalize on improvement opportunities. These recommendations are sequenced to enable phased implementation while delivering measurable results at each stage.</w:t>
      </w:r>
    </w:p>
    <w:p>
      <w:pPr>
        <w:pStyle w:val="Heading2"/>
      </w:pPr>
      <w:r>
        <w:rPr>
          <w:rFonts w:ascii="Calibri" w:hAnsi="Calibri"/>
          <w:b/>
          <w:color w:val="003366"/>
          <w:sz w:val="28"/>
        </w:rPr>
        <w:t>Recommendation One: Immediate Supplier Contract Renegotiation</w:t>
      </w:r>
    </w:p>
    <w:p>
      <w:pPr>
        <w:spacing w:after="240" w:line="276" w:lineRule="auto"/>
        <w:ind w:firstLine="0" w:left="0"/>
      </w:pPr>
      <w:r>
        <w:rPr>
          <w:rFonts w:ascii="Calibri" w:hAnsi="Calibri"/>
          <w:sz w:val="22"/>
        </w:rPr>
        <w:t>The first priority involves implementing a performance-based contracting framework with key suppliers, particularly those in high-spoilage regions. Current contracts likely lack sufficient quality accountability mechanisms, enabling continued acceptance of substandard shipments without financial consequences. New agreements should incorporate spoilage rate thresholds, with financial penalties for exceeding agreed limits and performance bonuses for sustained quality excellence. This recommendation targets immediate implementation within the first month of the initiative.</w:t>
      </w:r>
    </w:p>
    <w:p>
      <w:pPr>
        <w:spacing w:after="240" w:line="276" w:lineRule="auto"/>
        <w:ind w:firstLine="0" w:left="0"/>
      </w:pPr>
      <w:r>
        <w:rPr>
          <w:rFonts w:ascii="Calibri" w:hAnsi="Calibri"/>
          <w:sz w:val="22"/>
        </w:rPr>
        <w:t>The contract renegotiation process should involve collaborative discussions with suppliers to identify root causes of quality issues and develop joint improvement plans. Suppliers demonstrating commitment to quality enhancement should receive preferential treatment including longer contract terms, volume guarantees, and technical assistance for infrastructure improvements. This collaborative approach balances accountability with partnership, fostering sustainable long-term relationships while driving performance improvements.</w:t>
      </w:r>
    </w:p>
    <w:p>
      <w:pPr>
        <w:pStyle w:val="Heading2"/>
      </w:pPr>
      <w:r>
        <w:rPr>
          <w:rFonts w:ascii="Calibri" w:hAnsi="Calibri"/>
          <w:b/>
          <w:color w:val="003366"/>
          <w:sz w:val="28"/>
        </w:rPr>
        <w:t>Recommendation Two: Seasonal Sourcing Optimization</w:t>
      </w:r>
    </w:p>
    <w:p>
      <w:pPr>
        <w:spacing w:after="240" w:line="276" w:lineRule="auto"/>
        <w:ind w:firstLine="0" w:left="0"/>
      </w:pPr>
      <w:r>
        <w:rPr>
          <w:rFonts w:ascii="Calibri" w:hAnsi="Calibri"/>
          <w:sz w:val="22"/>
        </w:rPr>
        <w:t>Analysis reveals significant seasonal variations in spoilage rates, with elevated risk during monsoon periods and peak summer months. The second recommendation involves restructuring procurement calendars to minimize sourcing from high-risk regions during identified vulnerable periods. For example, reducing India sourcing during monsoon months while increasing procurement from the United States or alternative suppliers can substantially reduce overall spoilage exposure.</w:t>
      </w:r>
    </w:p>
    <w:p>
      <w:pPr>
        <w:spacing w:after="240" w:line="276" w:lineRule="auto"/>
        <w:ind w:firstLine="0" w:left="0"/>
      </w:pPr>
      <w:r>
        <w:rPr>
          <w:rFonts w:ascii="Calibri" w:hAnsi="Calibri"/>
          <w:sz w:val="22"/>
        </w:rPr>
        <w:t>This seasonal optimization requires advance planning and supplier coordination to ensure sufficient inventory availability during transition periods. The organization should develop detailed procurement calendars mapping optimal sourcing strategies by month, incorporating both spoilage risk factors and cost considerations. While seasonal optimization may involve modest cost premiums for alternative sourcing, the reduction in spoilage-related losses typically generates net positive financial returns.</w:t>
      </w:r>
    </w:p>
    <w:p>
      <w:r>
        <w:br w:type="page"/>
      </w:r>
    </w:p>
    <w:p>
      <w:pPr>
        <w:pStyle w:val="Heading1"/>
      </w:pPr>
      <w:r>
        <w:rPr>
          <w:rFonts w:ascii="Calibri" w:hAnsi="Calibri"/>
          <w:b/>
          <w:color w:val="003366"/>
          <w:sz w:val="32"/>
        </w:rPr>
        <w:t>Strategic Recommendations (Continued)</w:t>
      </w:r>
    </w:p>
    <w:p>
      <w:pPr>
        <w:pStyle w:val="Heading2"/>
      </w:pPr>
      <w:r>
        <w:rPr>
          <w:rFonts w:ascii="Calibri" w:hAnsi="Calibri"/>
          <w:b/>
          <w:color w:val="003366"/>
          <w:sz w:val="28"/>
        </w:rPr>
        <w:t>Recommendation Three: Technology Deployment at Scale</w:t>
      </w:r>
    </w:p>
    <w:p>
      <w:pPr>
        <w:spacing w:after="240" w:line="276" w:lineRule="auto"/>
        <w:ind w:firstLine="0" w:left="0"/>
      </w:pPr>
      <w:r>
        <w:rPr>
          <w:rFonts w:ascii="Calibri" w:hAnsi="Calibri"/>
          <w:sz w:val="22"/>
        </w:rPr>
        <w:t>The third recommendation focuses on deploying the validated 99.65% accurate InspectorCNN model across all receiving facilities for real-time quality assessment. Current manual inspection methods, while familiar to operations teams, suffer from consistency limitations and cannot scale to meet growing shipment volumes. The AI-powered inspection system provides objective, consistent quality assessment capabilities that operate continuously without fatigue-induced degradation.</w:t>
      </w:r>
    </w:p>
    <w:p>
      <w:pPr>
        <w:spacing w:after="240" w:line="276" w:lineRule="auto"/>
        <w:ind w:firstLine="0" w:left="0"/>
      </w:pPr>
      <w:r>
        <w:rPr>
          <w:rFonts w:ascii="Calibri" w:hAnsi="Calibri"/>
          <w:sz w:val="22"/>
        </w:rPr>
        <w:t>Technology deployment should follow a phased rollout beginning with the highest-volume receiving facilities to maximize immediate impact. Each deployment requires integration with existing warehouse management systems, staff training on system operation and exception handling, and establishment of clear protocols for human review of edge cases. The deployment timeline should allow approximately one month per facility to ensure proper installation, calibration, and staff familiarization before advancing to subsequent locations.</w:t>
      </w:r>
    </w:p>
    <w:p>
      <w:pPr>
        <w:pStyle w:val="Heading2"/>
      </w:pPr>
      <w:r>
        <w:rPr>
          <w:rFonts w:ascii="Calibri" w:hAnsi="Calibri"/>
          <w:b/>
          <w:color w:val="003366"/>
          <w:sz w:val="28"/>
        </w:rPr>
        <w:t>Recommendation Four: Supply Chain Diversification</w:t>
      </w:r>
    </w:p>
    <w:p>
      <w:pPr>
        <w:spacing w:after="240" w:line="276" w:lineRule="auto"/>
        <w:ind w:firstLine="0" w:left="0"/>
      </w:pPr>
      <w:r>
        <w:rPr>
          <w:rFonts w:ascii="Calibri" w:hAnsi="Calibri"/>
          <w:sz w:val="22"/>
        </w:rPr>
        <w:t>The fourth recommendation addresses concentration risk by diversifying sourcing across additional geographic regions and suppliers. Current sourcing patterns may exhibit unhealthy dependencies on limited supplier bases, creating vulnerability to localized disruptions, quality issues, or capacity constraints. Geographic diversification, including exploration of emerging markets in Southeast Asia, Africa, and Central America, can reduce risk exposure while potentially accessing superior quality produce at competitive pricing.</w:t>
      </w:r>
    </w:p>
    <w:p>
      <w:pPr>
        <w:spacing w:after="240" w:line="276" w:lineRule="auto"/>
        <w:ind w:firstLine="0" w:left="0"/>
      </w:pPr>
      <w:r>
        <w:rPr>
          <w:rFonts w:ascii="Calibri" w:hAnsi="Calibri"/>
          <w:sz w:val="22"/>
        </w:rPr>
        <w:t>Diversification initiatives should begin with pilot programs evaluating potential new suppliers through trial shipments and rigorous quality assessment. Successful pilots can gradually expand into ongoing supply relationships, with volume allocation adjusted based on demonstrated performance. This measured approach balances the benefits of diversification against the risks of engaging unproven suppliers while building resilient, multi-source supply networks.</w:t>
      </w:r>
    </w:p>
    <w:p>
      <w:pPr>
        <w:pStyle w:val="Heading2"/>
      </w:pPr>
      <w:r>
        <w:rPr>
          <w:rFonts w:ascii="Calibri" w:hAnsi="Calibri"/>
          <w:b/>
          <w:color w:val="003366"/>
          <w:sz w:val="28"/>
        </w:rPr>
        <w:t>Recommendation Five: Dynamic Pricing Integration</w:t>
      </w:r>
    </w:p>
    <w:p>
      <w:pPr>
        <w:spacing w:after="240" w:line="276" w:lineRule="auto"/>
        <w:ind w:firstLine="0" w:left="0"/>
      </w:pPr>
      <w:r>
        <w:rPr>
          <w:rFonts w:ascii="Calibri" w:hAnsi="Calibri"/>
          <w:sz w:val="22"/>
        </w:rPr>
        <w:t>The fifth recommendation leverages spoilage pattern insights to implement dynamic pricing strategies that align procurement costs with expected quality outcomes. Analysis reveals that certain supplier-region combinations consistently deliver superior quality with lower spoilage rates. Dynamic pricing mechanisms can reward these high-performing sources with premium pricing while applying cost discounts to higher-risk shipments that reflect elevated spoilage probabilities.</w:t>
      </w:r>
    </w:p>
    <w:p>
      <w:pPr>
        <w:spacing w:after="240" w:line="276" w:lineRule="auto"/>
        <w:ind w:firstLine="0" w:left="0"/>
      </w:pPr>
      <w:r>
        <w:rPr>
          <w:rFonts w:ascii="Calibri" w:hAnsi="Calibri"/>
          <w:sz w:val="22"/>
        </w:rPr>
        <w:t>Implementation of dynamic pricing requires sophisticated data integration linking historical performance metrics, current market conditions, and real-time quality assessments. The pricing algorithm should continuously learn from outcome data, refining risk assessments and price adjustments to optimize the balance between cost and quality. While complex to implement initially, dynamic pricing creates powerful economic incentives that drive supplier behavior toward quality-focused outcomes.</w:t>
      </w:r>
    </w:p>
    <w:p>
      <w:r>
        <w:br w:type="page"/>
      </w:r>
    </w:p>
    <w:p>
      <w:pPr>
        <w:pStyle w:val="Heading1"/>
      </w:pPr>
      <w:r>
        <w:rPr>
          <w:rFonts w:ascii="Calibri" w:hAnsi="Calibri"/>
          <w:b/>
          <w:color w:val="003366"/>
          <w:sz w:val="32"/>
        </w:rPr>
        <w:t>Conclusion and Next Steps</w:t>
      </w:r>
    </w:p>
    <w:p>
      <w:pPr>
        <w:spacing w:after="240" w:line="276" w:lineRule="auto"/>
        <w:ind w:firstLine="0" w:left="0"/>
      </w:pPr>
      <w:r>
        <w:rPr>
          <w:rFonts w:ascii="Calibri" w:hAnsi="Calibri"/>
          <w:sz w:val="22"/>
        </w:rPr>
        <w:t>The Global Fruit Supply Chain Intelligence project represents a comprehensive initiative that successfully demonstrates the transformative potential of data mining, computer vision, and business intelligence in addressing complex supply chain challenges. Through rigorous application of the CRISP-DM methodology, the project team developed a 99.65% accurate classification model, analyzed 13,599 shipment records across three major markets, and identified actionable opportunities capable of generating projected annual savings of $461,580.</w:t>
      </w:r>
    </w:p>
    <w:p>
      <w:pPr>
        <w:spacing w:after="240" w:line="276" w:lineRule="auto"/>
        <w:ind w:firstLine="0" w:left="0"/>
      </w:pPr>
      <w:r>
        <w:rPr>
          <w:rFonts w:ascii="Calibri" w:hAnsi="Calibri"/>
          <w:sz w:val="22"/>
        </w:rPr>
        <w:t>The analysis reveals that significant improvement opportunities exist within current operations, particularly in addressing the geographic performance variations that see spoilage rates ranging from 49.92% in the United States to 61.85% in India. These disparities, while representing current operational challenges, also indicate the potential for substantial improvement through targeted interventions. The five strategic recommendations presented in this report provide a comprehensive roadmap for realizing these improvements while maintaining operational continuity.</w:t>
      </w:r>
    </w:p>
    <w:p>
      <w:pPr>
        <w:spacing w:after="240" w:line="276" w:lineRule="auto"/>
        <w:ind w:firstLine="0" w:left="0"/>
      </w:pPr>
      <w:r>
        <w:rPr>
          <w:rFonts w:ascii="Calibri" w:hAnsi="Calibri"/>
          <w:sz w:val="22"/>
        </w:rPr>
        <w:t>It is essential to emphasize that the financial projections contained throughout this report represent analytical estimates based on modeling assumptions rather than guaranteed outcomes. Actual results will depend on implementation execution, supplier cooperation, market conditions, and numerous other variables beyond direct organizational control. However, even conservative improvement scenarios generate positive return on investment, validating the business case for recommended initiatives.</w:t>
      </w:r>
    </w:p>
    <w:p>
      <w:pPr>
        <w:pStyle w:val="Heading2"/>
      </w:pPr>
      <w:r>
        <w:rPr>
          <w:rFonts w:ascii="Calibri" w:hAnsi="Calibri"/>
          <w:b/>
          <w:color w:val="003366"/>
          <w:sz w:val="28"/>
        </w:rPr>
        <w:t>Implementation Roadmap</w:t>
      </w:r>
    </w:p>
    <w:p>
      <w:pPr>
        <w:spacing w:after="240" w:line="276" w:lineRule="auto"/>
        <w:ind w:firstLine="0" w:left="0"/>
      </w:pPr>
      <w:r>
        <w:rPr>
          <w:rFonts w:ascii="Calibri" w:hAnsi="Calibri"/>
          <w:sz w:val="22"/>
        </w:rPr>
        <w:t>The recommended implementation approach follows a phased timeline designed to deliver early wins while building momentum for comprehensive transformation. During the first week following project approval, findings should be presented to procurement and operations leadership teams, with immediate scheduling of supplier meetings to initiate contract renegotiation discussions. The first month should see deployment of AI inspection capabilities at the three highest-volume receiving ports, accompanied by implementation of supplier performance scorecards.</w:t>
      </w:r>
    </w:p>
    <w:p>
      <w:pPr>
        <w:spacing w:after="240" w:line="276" w:lineRule="auto"/>
        <w:ind w:firstLine="0" w:left="0"/>
      </w:pPr>
      <w:r>
        <w:rPr>
          <w:rFonts w:ascii="Calibri" w:hAnsi="Calibri"/>
          <w:sz w:val="22"/>
        </w:rPr>
        <w:t>By the end of the third month, the organization should complete implementation of the new sourcing strategy, including seasonal calendar adjustments and initial supplier diversification pilots. Longer-term initiatives including comprehensive diversification programs and dynamic pricing implementation should proceed over the subsequent six to twelve months, with continuous monitoring of key performance indicators to validate progress against projected outcomes.</w:t>
      </w:r>
    </w:p>
    <w:p>
      <w:pPr>
        <w:pStyle w:val="Heading2"/>
      </w:pPr>
      <w:r>
        <w:rPr>
          <w:rFonts w:ascii="Calibri" w:hAnsi="Calibri"/>
          <w:b/>
          <w:color w:val="003366"/>
          <w:sz w:val="28"/>
        </w:rPr>
        <w:t>Ongoing Monitoring and Continuous Improvement</w:t>
      </w:r>
    </w:p>
    <w:p>
      <w:pPr>
        <w:spacing w:after="240" w:line="276" w:lineRule="auto"/>
        <w:ind w:firstLine="0" w:left="0"/>
      </w:pPr>
      <w:r>
        <w:rPr>
          <w:rFonts w:ascii="Calibri" w:hAnsi="Calibri"/>
          <w:sz w:val="22"/>
        </w:rPr>
        <w:t>Success requires establishment of robust monitoring frameworks to track progress and enable continuous improvement. Monthly quality audits should assess spoilage rates by region, supplier, and fruit category, with quarterly contract reviews ensuring compliance with performance standards. ROI tracking mechanisms should compare actual savings against projected figures, enabling course corrections when performance deviates from expectations.</w:t>
      </w:r>
    </w:p>
    <w:p>
      <w:pPr>
        <w:spacing w:after="240" w:line="276" w:lineRule="auto"/>
        <w:ind w:firstLine="0" w:left="0"/>
      </w:pPr>
      <w:r>
        <w:rPr>
          <w:rFonts w:ascii="Calibri" w:hAnsi="Calibri"/>
          <w:sz w:val="22"/>
        </w:rPr>
        <w:t>The organization should view this initiative not as a one-time project but as the foundation for ongoing supply chain optimization. Regular model retraining with new data will maintain classification accuracy as fruit varieties and quality characteristics evolve. Expansion of data collection to include additional variables such as weather conditions, transportation modes, and storage durations will enable increasingly sophisticated predictive capabilities.</w:t>
      </w:r>
    </w:p>
    <w:p>
      <w:pPr>
        <w:spacing w:before="240" w:after="240"/>
      </w:pPr>
      <w:r>
        <w:rPr>
          <w:color w:val="C8C8C8"/>
        </w:rPr>
        <w:t>────────────────────────────────────────────────────────────</w:t>
      </w:r>
    </w:p>
    <w:p>
      <w:pPr>
        <w:spacing w:before="480"/>
        <w:jc w:val="center"/>
      </w:pPr>
      <w:r>
        <w:rPr>
          <w:rFonts w:ascii="Calibri" w:hAnsi="Calibri"/>
          <w:i/>
          <w:color w:val="808080"/>
          <w:sz w:val="18"/>
        </w:rPr>
        <w:t>Global Fruit Supply Chain Intelligence Project | Confidential Business Report</w:t>
        <w:br/>
        <w:t>Total Shipments Analyzed: 13,599 | Model Accuracy: 99.65% | ROI Projection: 157%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