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0D1B" w14:textId="2E3B47EA" w:rsidR="00EE2F4B" w:rsidRPr="00EE2F4B" w:rsidRDefault="00EE2F4B" w:rsidP="00EE2F4B">
      <w:pPr>
        <w:rPr>
          <w:b/>
          <w:bCs/>
        </w:rPr>
      </w:pPr>
      <w:r w:rsidRPr="00EE2F4B">
        <w:rPr>
          <w:b/>
          <w:bCs/>
        </w:rPr>
        <w:t>Project Methodology Summary:</w:t>
      </w:r>
    </w:p>
    <w:p w14:paraId="5EAACAC7" w14:textId="77777777" w:rsidR="00EE2F4B" w:rsidRPr="00EE2F4B" w:rsidRDefault="00EE2F4B" w:rsidP="00EE2F4B">
      <w:pPr>
        <w:ind w:firstLine="720"/>
      </w:pPr>
      <w:r w:rsidRPr="00EE2F4B">
        <w:t xml:space="preserve">This document explains the end-to-end data pipeline developed to evaluate the environmental sustainability of products sold by </w:t>
      </w:r>
      <w:proofErr w:type="spellStart"/>
      <w:r w:rsidRPr="00EE2F4B">
        <w:t>Teknosa</w:t>
      </w:r>
      <w:proofErr w:type="spellEnd"/>
      <w:r w:rsidRPr="00EE2F4B">
        <w:t>. It covers data collection, product matching, environmental scoring, data consolidation, and confidence assessment.</w:t>
      </w:r>
    </w:p>
    <w:p w14:paraId="59322BCD" w14:textId="77777777" w:rsidR="00EE2F4B" w:rsidRPr="00EE2F4B" w:rsidRDefault="00EE2F4B" w:rsidP="00EE2F4B">
      <w:pPr>
        <w:rPr>
          <w:b/>
          <w:bCs/>
        </w:rPr>
      </w:pPr>
      <w:r w:rsidRPr="00EE2F4B">
        <w:rPr>
          <w:b/>
          <w:bCs/>
        </w:rPr>
        <w:t>1. Data Scraping &amp; Portfolio Snapshot (Phase 1)</w:t>
      </w:r>
    </w:p>
    <w:p w14:paraId="74C74CCF" w14:textId="77777777" w:rsidR="00EE2F4B" w:rsidRPr="00EE2F4B" w:rsidRDefault="00EE2F4B" w:rsidP="00EE2F4B">
      <w:r w:rsidRPr="00EE2F4B">
        <w:t xml:space="preserve">Scraping Strategy: Developed a three-layer fetching system using Standard Requests, </w:t>
      </w:r>
      <w:proofErr w:type="spellStart"/>
      <w:r w:rsidRPr="00EE2F4B">
        <w:t>Cloudscraper</w:t>
      </w:r>
      <w:proofErr w:type="spellEnd"/>
      <w:r w:rsidRPr="00EE2F4B">
        <w:t xml:space="preserve">, and Stealth </w:t>
      </w:r>
      <w:proofErr w:type="spellStart"/>
      <w:r w:rsidRPr="00EE2F4B">
        <w:t>curl_cffi</w:t>
      </w:r>
      <w:proofErr w:type="spellEnd"/>
      <w:r w:rsidRPr="00EE2F4B">
        <w:t xml:space="preserve"> with Chrome browser impersonation. The scraping process followed robots.txt restrictions and covered 10 core product categories, including laptops, monitors, washing machines, air conditioners, vacuum cleaners, headphones, TVs, dishwashers, and refrigerators.</w:t>
      </w:r>
    </w:p>
    <w:p w14:paraId="1CDA8C46" w14:textId="77777777" w:rsidR="00EE2F4B" w:rsidRPr="00EE2F4B" w:rsidRDefault="00EE2F4B" w:rsidP="00EE2F4B">
      <w:r w:rsidRPr="00EE2F4B">
        <w:t>Product Extraction: Collected product information from structured JSON-LD data and DOM-based product cards, creating a portfolio snapshot of 1,213 unique products stored in a timestamped CSV file.</w:t>
      </w:r>
    </w:p>
    <w:p w14:paraId="074422A3" w14:textId="77777777" w:rsidR="00EE2F4B" w:rsidRPr="00EE2F4B" w:rsidRDefault="00EE2F4B" w:rsidP="00EE2F4B">
      <w:r w:rsidRPr="00EE2F4B">
        <w:t>Brand Normalization: Standardized Turkish characters and manufacturer aliases (e.g., HP and Hewlett Packard) to create a consistent brand-by-category dataset.</w:t>
      </w:r>
    </w:p>
    <w:p w14:paraId="5BF18C72" w14:textId="77777777" w:rsidR="00EE2F4B" w:rsidRPr="00EE2F4B" w:rsidRDefault="00EE2F4B" w:rsidP="00EE2F4B">
      <w:pPr>
        <w:rPr>
          <w:b/>
          <w:bCs/>
        </w:rPr>
      </w:pPr>
      <w:r w:rsidRPr="00EE2F4B">
        <w:rPr>
          <w:b/>
          <w:bCs/>
        </w:rPr>
        <w:t>2. Entity Resolution &amp; Product Matching</w:t>
      </w:r>
    </w:p>
    <w:p w14:paraId="5CA5EB52" w14:textId="77777777" w:rsidR="00EE2F4B" w:rsidRPr="00EE2F4B" w:rsidRDefault="00EE2F4B" w:rsidP="00EE2F4B">
      <w:r w:rsidRPr="00EE2F4B">
        <w:t xml:space="preserve">Since retail product names often differ from those used in environmental databases, a dedicated entity resolution and matching engine was developed to connect </w:t>
      </w:r>
      <w:proofErr w:type="spellStart"/>
      <w:r w:rsidRPr="00EE2F4B">
        <w:t>Teknosa</w:t>
      </w:r>
      <w:proofErr w:type="spellEnd"/>
      <w:r w:rsidRPr="00EE2F4B">
        <w:t xml:space="preserve"> products with external records.</w:t>
      </w:r>
    </w:p>
    <w:p w14:paraId="644196EF" w14:textId="77777777" w:rsidR="00EE2F4B" w:rsidRPr="00EE2F4B" w:rsidRDefault="00EE2F4B" w:rsidP="00EE2F4B">
      <w:r w:rsidRPr="00EE2F4B">
        <w:t>Tokenization &amp; Normalization: Removed marketing terms, screen sizes, memory specifications, and generic category words while retaining useful identifiers such as Lenovo MTM codes and HP or ASUS SKU fragments.</w:t>
      </w:r>
    </w:p>
    <w:p w14:paraId="4348291D" w14:textId="77777777" w:rsidR="00EE2F4B" w:rsidRPr="00EE2F4B" w:rsidRDefault="00EE2F4B" w:rsidP="00EE2F4B">
      <w:r w:rsidRPr="00EE2F4B">
        <w:t xml:space="preserve">Multi-Registry Integration: Matched products against eight environmental and certification data sources: Energy Star Master, </w:t>
      </w:r>
      <w:proofErr w:type="spellStart"/>
      <w:r w:rsidRPr="00EE2F4B">
        <w:t>Boavizta</w:t>
      </w:r>
      <w:proofErr w:type="spellEnd"/>
      <w:r w:rsidRPr="00EE2F4B">
        <w:t xml:space="preserve"> Environmental Footprint Database, EPEAT 1.0 and 2.0, the French Repairability Index, iFixit, TCO Certified, and EPREL Display Registries.</w:t>
      </w:r>
    </w:p>
    <w:p w14:paraId="425E12A7" w14:textId="77777777" w:rsidR="00EE2F4B" w:rsidRPr="00EE2F4B" w:rsidRDefault="00EE2F4B" w:rsidP="00EE2F4B">
      <w:r w:rsidRPr="00EE2F4B">
        <w:t>Deduplication: Consolidated duplicate records using exact product fingerprints and prioritized the most recent certification data where applicable.</w:t>
      </w:r>
    </w:p>
    <w:p w14:paraId="2DFE77B2" w14:textId="77777777" w:rsidR="00EE2F4B" w:rsidRPr="00EE2F4B" w:rsidRDefault="00EE2F4B" w:rsidP="00EE2F4B">
      <w:pPr>
        <w:rPr>
          <w:b/>
          <w:bCs/>
        </w:rPr>
      </w:pPr>
      <w:r w:rsidRPr="00EE2F4B">
        <w:rPr>
          <w:b/>
          <w:bCs/>
        </w:rPr>
        <w:t>3. Multi-Criteria Environmental Scoring Framework</w:t>
      </w:r>
    </w:p>
    <w:p w14:paraId="1642B824" w14:textId="77777777" w:rsidR="00EE2F4B" w:rsidRPr="00EE2F4B" w:rsidRDefault="00EE2F4B" w:rsidP="00EE2F4B">
      <w:r w:rsidRPr="00EE2F4B">
        <w:t>Each product is evaluated using a 100-point scoring model. The scoring criteria and their relative weights vary by category to reflect the environmental impact of each product type. For example, since headphones consume very little electricity, repairability and lifecycle emissions receive greater emphasis than energy consumption.</w:t>
      </w:r>
    </w:p>
    <w:p w14:paraId="189EF3B4" w14:textId="74E7A2E6" w:rsidR="00EE2F4B" w:rsidRPr="00EE2F4B" w:rsidRDefault="00EE2F4B" w:rsidP="00EE2F4B">
      <w:pPr>
        <w:pStyle w:val="ListParagraph"/>
        <w:numPr>
          <w:ilvl w:val="0"/>
          <w:numId w:val="5"/>
        </w:numPr>
      </w:pPr>
      <w:r w:rsidRPr="00EE2F4B">
        <w:rPr>
          <w:b/>
          <w:bCs/>
        </w:rPr>
        <w:t>Energy Efficiency (20–35 points):</w:t>
      </w:r>
      <w:r w:rsidRPr="00EE2F4B">
        <w:t xml:space="preserve"> Evaluates annual energy consumption using data from Energy Star, </w:t>
      </w:r>
      <w:proofErr w:type="spellStart"/>
      <w:r w:rsidRPr="00EE2F4B">
        <w:t>Boavizta</w:t>
      </w:r>
      <w:proofErr w:type="spellEnd"/>
      <w:r w:rsidRPr="00EE2F4B">
        <w:t xml:space="preserve">, manufacturer specifications, and EPREL-derived power estimates. Products are scored using inverted percentile scaling (0.02–0.98 quantiles), </w:t>
      </w:r>
      <w:r w:rsidRPr="00EE2F4B">
        <w:lastRenderedPageBreak/>
        <w:t>with additional bonuses for relevant efficiency achievements, such as Energy Star Most Efficient recognition.</w:t>
      </w:r>
    </w:p>
    <w:p w14:paraId="24F803D4" w14:textId="2E2C0057" w:rsidR="00EE2F4B" w:rsidRPr="00EE2F4B" w:rsidRDefault="00EE2F4B" w:rsidP="00EE2F4B">
      <w:pPr>
        <w:pStyle w:val="ListParagraph"/>
        <w:numPr>
          <w:ilvl w:val="0"/>
          <w:numId w:val="5"/>
        </w:numPr>
      </w:pPr>
      <w:r w:rsidRPr="00EE2F4B">
        <w:rPr>
          <w:b/>
          <w:bCs/>
        </w:rPr>
        <w:t>Carbon Footprint &amp; GHG Emissions (up to 25 points):</w:t>
      </w:r>
      <w:r w:rsidRPr="00EE2F4B">
        <w:t xml:space="preserve"> Assesses lifecycle greenhouse gas emissions, measured in kg </w:t>
      </w:r>
      <w:proofErr w:type="spellStart"/>
      <w:r w:rsidRPr="00EE2F4B">
        <w:t>CO₂e</w:t>
      </w:r>
      <w:proofErr w:type="spellEnd"/>
      <w:r w:rsidRPr="00EE2F4B">
        <w:t xml:space="preserve">, using </w:t>
      </w:r>
      <w:proofErr w:type="spellStart"/>
      <w:r w:rsidRPr="00EE2F4B">
        <w:t>Boavizta</w:t>
      </w:r>
      <w:proofErr w:type="spellEnd"/>
      <w:r w:rsidRPr="00EE2F4B">
        <w:t xml:space="preserve"> lifecycle assessments and manufacturer Product Carbon Footprint (PCF) reports. Products with lower embodied carbon receive higher scores.</w:t>
      </w:r>
    </w:p>
    <w:p w14:paraId="59B7A1C6" w14:textId="0F14A097" w:rsidR="00EE2F4B" w:rsidRPr="00EE2F4B" w:rsidRDefault="00EE2F4B" w:rsidP="00EE2F4B">
      <w:pPr>
        <w:pStyle w:val="ListParagraph"/>
        <w:numPr>
          <w:ilvl w:val="0"/>
          <w:numId w:val="5"/>
        </w:numPr>
      </w:pPr>
      <w:r w:rsidRPr="00EE2F4B">
        <w:rPr>
          <w:b/>
          <w:bCs/>
        </w:rPr>
        <w:t>Repairability &amp; Circularity (20–25 points):</w:t>
      </w:r>
      <w:r w:rsidRPr="00EE2F4B">
        <w:t xml:space="preserve"> Combines French Repairability Index and iFixit data, considering factors such as repair documentation, ease of disassembly, spare-parts availability, and spare-parts pricing.</w:t>
      </w:r>
    </w:p>
    <w:p w14:paraId="74C606E3" w14:textId="06B7C201" w:rsidR="00EE2F4B" w:rsidRPr="00EE2F4B" w:rsidRDefault="00EE2F4B" w:rsidP="00EE2F4B">
      <w:pPr>
        <w:pStyle w:val="ListParagraph"/>
        <w:numPr>
          <w:ilvl w:val="0"/>
          <w:numId w:val="5"/>
        </w:numPr>
      </w:pPr>
      <w:r w:rsidRPr="00EE2F4B">
        <w:rPr>
          <w:b/>
          <w:bCs/>
        </w:rPr>
        <w:t>Certifications &amp; Environmental Standards (20–25 points):</w:t>
      </w:r>
      <w:r w:rsidRPr="00EE2F4B">
        <w:t xml:space="preserve"> Evaluates EPEAT registrations and tier achievements (Gold, Silver, and Bronze), alongside relevant Climate+ achievements and TCO Certified credentials.</w:t>
      </w:r>
    </w:p>
    <w:p w14:paraId="6C032A1F" w14:textId="77777777" w:rsidR="00EE2F4B" w:rsidRPr="00EE2F4B" w:rsidRDefault="00EE2F4B" w:rsidP="00EE2F4B">
      <w:r w:rsidRPr="00EE2F4B">
        <w:t>The framework is designed to balance environmental criteria according to their relevance to each product category rather than applying identical weights to every product type.</w:t>
      </w:r>
    </w:p>
    <w:p w14:paraId="5073EA9C" w14:textId="77777777" w:rsidR="00EE2F4B" w:rsidRPr="00EE2F4B" w:rsidRDefault="00EE2F4B" w:rsidP="00EE2F4B">
      <w:pPr>
        <w:rPr>
          <w:b/>
          <w:bCs/>
        </w:rPr>
      </w:pPr>
      <w:r w:rsidRPr="00EE2F4B">
        <w:rPr>
          <w:b/>
          <w:bCs/>
        </w:rPr>
        <w:t>4. Confidence Scoring &amp; Transparency</w:t>
      </w:r>
    </w:p>
    <w:p w14:paraId="09FC4C8D" w14:textId="77777777" w:rsidR="00EE2F4B" w:rsidRPr="00EE2F4B" w:rsidRDefault="00EE2F4B" w:rsidP="00EE2F4B">
      <w:r w:rsidRPr="00EE2F4B">
        <w:t>Because environmental data availability varies across products and registries, the pipeline calculates a Confidence Score (%) for each product.</w:t>
      </w:r>
    </w:p>
    <w:p w14:paraId="2F116396" w14:textId="77777777" w:rsidR="00EE2F4B" w:rsidRPr="00EE2F4B" w:rsidRDefault="00EE2F4B" w:rsidP="00EE2F4B">
      <w:r w:rsidRPr="00EE2F4B">
        <w:t>Data Coverage: Tracks the availability of relevant data points across external registries and the master retail catalog, using category-specific denominators (e.g., eight data points for laptops and nine for monitors, including EPREL display metrics).</w:t>
      </w:r>
    </w:p>
    <w:p w14:paraId="49264B55" w14:textId="77777777" w:rsidR="00EE2F4B" w:rsidRPr="00EE2F4B" w:rsidRDefault="00EE2F4B" w:rsidP="00EE2F4B">
      <w:r w:rsidRPr="00EE2F4B">
        <w:t>Transparent Outputs: Generates structured results in Data/Processed/</w:t>
      </w:r>
      <w:proofErr w:type="spellStart"/>
      <w:r w:rsidRPr="00EE2F4B">
        <w:t>final_results</w:t>
      </w:r>
      <w:proofErr w:type="spellEnd"/>
      <w:r w:rsidRPr="00EE2F4B">
        <w:t>/, including category rankings, top-performing products, and audit summaries.</w:t>
      </w:r>
    </w:p>
    <w:p w14:paraId="5D24CD8D" w14:textId="77777777" w:rsidR="00EE2F4B" w:rsidRPr="00EE2F4B" w:rsidRDefault="00EE2F4B" w:rsidP="00EE2F4B">
      <w:r w:rsidRPr="00EE2F4B">
        <w:t>The confidence score helps distinguish products supported by broader data coverage from those evaluated using more limited information. It complements the environmental score rather than directly measuring sustainability performance.</w:t>
      </w:r>
    </w:p>
    <w:p w14:paraId="1A94397D" w14:textId="77777777" w:rsidR="007F495B" w:rsidRPr="00EE2F4B" w:rsidRDefault="007F495B" w:rsidP="00EE2F4B"/>
    <w:sectPr w:rsidR="007F495B" w:rsidRPr="00EE2F4B" w:rsidSect="00AD36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1238"/>
    <w:multiLevelType w:val="multilevel"/>
    <w:tmpl w:val="5686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80A8B"/>
    <w:multiLevelType w:val="multilevel"/>
    <w:tmpl w:val="54B03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B49CB"/>
    <w:multiLevelType w:val="hybridMultilevel"/>
    <w:tmpl w:val="26D66AE8"/>
    <w:lvl w:ilvl="0" w:tplc="558C336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A115B"/>
    <w:multiLevelType w:val="multilevel"/>
    <w:tmpl w:val="18A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23723"/>
    <w:multiLevelType w:val="multilevel"/>
    <w:tmpl w:val="1542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283848">
    <w:abstractNumId w:val="4"/>
  </w:num>
  <w:num w:numId="2" w16cid:durableId="278339856">
    <w:abstractNumId w:val="0"/>
  </w:num>
  <w:num w:numId="3" w16cid:durableId="529494651">
    <w:abstractNumId w:val="1"/>
  </w:num>
  <w:num w:numId="4" w16cid:durableId="284585439">
    <w:abstractNumId w:val="3"/>
  </w:num>
  <w:num w:numId="5" w16cid:durableId="1522355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BE"/>
    <w:rsid w:val="006D72BE"/>
    <w:rsid w:val="007B5909"/>
    <w:rsid w:val="007C2F78"/>
    <w:rsid w:val="007F495B"/>
    <w:rsid w:val="00AD3603"/>
    <w:rsid w:val="00CB5985"/>
    <w:rsid w:val="00DC012A"/>
    <w:rsid w:val="00EE2F4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A4C2"/>
  <w15:chartTrackingRefBased/>
  <w15:docId w15:val="{9CEC3410-3B75-4D52-960A-B3BE5209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2BE"/>
    <w:rPr>
      <w:rFonts w:eastAsiaTheme="majorEastAsia" w:cstheme="majorBidi"/>
      <w:color w:val="272727" w:themeColor="text1" w:themeTint="D8"/>
    </w:rPr>
  </w:style>
  <w:style w:type="paragraph" w:styleId="Title">
    <w:name w:val="Title"/>
    <w:basedOn w:val="Normal"/>
    <w:next w:val="Normal"/>
    <w:link w:val="TitleChar"/>
    <w:uiPriority w:val="10"/>
    <w:qFormat/>
    <w:rsid w:val="006D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2BE"/>
    <w:pPr>
      <w:spacing w:before="160"/>
      <w:jc w:val="center"/>
    </w:pPr>
    <w:rPr>
      <w:i/>
      <w:iCs/>
      <w:color w:val="404040" w:themeColor="text1" w:themeTint="BF"/>
    </w:rPr>
  </w:style>
  <w:style w:type="character" w:customStyle="1" w:styleId="QuoteChar">
    <w:name w:val="Quote Char"/>
    <w:basedOn w:val="DefaultParagraphFont"/>
    <w:link w:val="Quote"/>
    <w:uiPriority w:val="29"/>
    <w:rsid w:val="006D72BE"/>
    <w:rPr>
      <w:i/>
      <w:iCs/>
      <w:color w:val="404040" w:themeColor="text1" w:themeTint="BF"/>
    </w:rPr>
  </w:style>
  <w:style w:type="paragraph" w:styleId="ListParagraph">
    <w:name w:val="List Paragraph"/>
    <w:basedOn w:val="Normal"/>
    <w:uiPriority w:val="34"/>
    <w:qFormat/>
    <w:rsid w:val="006D72BE"/>
    <w:pPr>
      <w:ind w:left="720"/>
      <w:contextualSpacing/>
    </w:pPr>
  </w:style>
  <w:style w:type="character" w:styleId="IntenseEmphasis">
    <w:name w:val="Intense Emphasis"/>
    <w:basedOn w:val="DefaultParagraphFont"/>
    <w:uiPriority w:val="21"/>
    <w:qFormat/>
    <w:rsid w:val="006D72BE"/>
    <w:rPr>
      <w:i/>
      <w:iCs/>
      <w:color w:val="2F5496" w:themeColor="accent1" w:themeShade="BF"/>
    </w:rPr>
  </w:style>
  <w:style w:type="paragraph" w:styleId="IntenseQuote">
    <w:name w:val="Intense Quote"/>
    <w:basedOn w:val="Normal"/>
    <w:next w:val="Normal"/>
    <w:link w:val="IntenseQuoteChar"/>
    <w:uiPriority w:val="30"/>
    <w:qFormat/>
    <w:rsid w:val="006D7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2BE"/>
    <w:rPr>
      <w:i/>
      <w:iCs/>
      <w:color w:val="2F5496" w:themeColor="accent1" w:themeShade="BF"/>
    </w:rPr>
  </w:style>
  <w:style w:type="character" w:styleId="IntenseReference">
    <w:name w:val="Intense Reference"/>
    <w:basedOn w:val="DefaultParagraphFont"/>
    <w:uiPriority w:val="32"/>
    <w:qFormat/>
    <w:rsid w:val="006D72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653</Words>
  <Characters>3724</Characters>
  <Application>Microsoft Office Word</Application>
  <DocSecurity>0</DocSecurity>
  <Lines>31</Lines>
  <Paragraphs>8</Paragraphs>
  <ScaleCrop>false</ScaleCrop>
  <Company>Silentall Unattended Installer</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Arman</dc:creator>
  <cp:keywords/>
  <dc:description/>
  <cp:lastModifiedBy>Hakan Arman</cp:lastModifiedBy>
  <cp:revision>3</cp:revision>
  <dcterms:created xsi:type="dcterms:W3CDTF">2026-10-09T20:56:00Z</dcterms:created>
  <dcterms:modified xsi:type="dcterms:W3CDTF">2026-10-09T21:00:00Z</dcterms:modified>
</cp:coreProperties>
</file>