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D7C8" w14:textId="7A0AEDFC" w:rsidR="00CF25D6" w:rsidRDefault="00CF25D6" w:rsidP="00CF25D6">
      <w:pPr>
        <w:rPr>
          <w:sz w:val="28"/>
          <w:szCs w:val="28"/>
        </w:rPr>
      </w:pPr>
      <w:r w:rsidRPr="00CF25D6">
        <w:rPr>
          <w:sz w:val="28"/>
          <w:szCs w:val="28"/>
        </w:rPr>
        <w:t>Task 5</w:t>
      </w:r>
      <w:r>
        <w:rPr>
          <w:sz w:val="28"/>
          <w:szCs w:val="28"/>
        </w:rPr>
        <w:t xml:space="preserve">: </w:t>
      </w:r>
      <w:r w:rsidRPr="00CF25D6">
        <w:rPr>
          <w:sz w:val="28"/>
          <w:szCs w:val="28"/>
        </w:rPr>
        <w:t>Research-to-Decision Map</w:t>
      </w:r>
    </w:p>
    <w:p w14:paraId="0B7FC7EB" w14:textId="77777777" w:rsidR="00CF25D6" w:rsidRPr="00CF25D6" w:rsidRDefault="00CF25D6" w:rsidP="00CF25D6">
      <w:pPr>
        <w:rPr>
          <w:sz w:val="28"/>
          <w:szCs w:val="28"/>
        </w:rPr>
      </w:pPr>
    </w:p>
    <w:tbl>
      <w:tblPr>
        <w:tblW w:w="157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600"/>
        <w:gridCol w:w="3950"/>
        <w:gridCol w:w="2950"/>
        <w:gridCol w:w="3150"/>
      </w:tblGrid>
      <w:tr w:rsidR="000B40E0" w:rsidRPr="00E944BC" w14:paraId="4CE26D50" w14:textId="77777777" w:rsidTr="00E944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BE7D9" w14:textId="53EAD92F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 xml:space="preserve">A2 </w:t>
            </w:r>
            <w:r w:rsidR="00CF25D6">
              <w:rPr>
                <w:b/>
                <w:bCs/>
                <w:sz w:val="18"/>
                <w:szCs w:val="18"/>
              </w:rPr>
              <w:t>Findings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A24F5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Evidence / alternative considered</w:t>
            </w:r>
          </w:p>
        </w:tc>
        <w:tc>
          <w:tcPr>
            <w:tcW w:w="3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89C88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Recommendation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B9B280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Project decision it should inform</w:t>
            </w:r>
          </w:p>
        </w:tc>
        <w:tc>
          <w:tcPr>
            <w:tcW w:w="31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1889A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Expected PED/ADR/RTM/application evidence</w:t>
            </w:r>
          </w:p>
        </w:tc>
      </w:tr>
      <w:tr w:rsidR="000B40E0" w:rsidRPr="00E944BC" w14:paraId="2E4CF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886916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Design problem 1</w:t>
            </w:r>
          </w:p>
          <w:p w14:paraId="7D342E5B" w14:textId="77777777" w:rsidR="000B40E0" w:rsidRPr="00E944BC" w:rsidRDefault="00000000">
            <w:r w:rsidRPr="00E944BC">
              <w:rPr>
                <w:sz w:val="18"/>
                <w:szCs w:val="18"/>
              </w:rPr>
              <w:t xml:space="preserve">Status changes need to trigger several reactions (notify, audit, report). Doing this directly ties </w:t>
            </w:r>
            <w:proofErr w:type="spellStart"/>
            <w:r w:rsidRPr="00E944BC">
              <w:rPr>
                <w:sz w:val="18"/>
                <w:szCs w:val="18"/>
              </w:rPr>
              <w:t>RequestService</w:t>
            </w:r>
            <w:proofErr w:type="spellEnd"/>
            <w:r w:rsidRPr="00E944BC">
              <w:rPr>
                <w:sz w:val="18"/>
                <w:szCs w:val="18"/>
              </w:rPr>
              <w:t xml:space="preserve"> to all of them.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35032" w14:textId="77777777" w:rsidR="000B40E0" w:rsidRPr="00E944BC" w:rsidRDefault="00000000">
            <w:r w:rsidRPr="00E944BC">
              <w:rPr>
                <w:sz w:val="18"/>
                <w:szCs w:val="18"/>
              </w:rPr>
              <w:t>Direct orchestration vs Observer vs event/notification service. NASA backs low coupling and high cohesion.</w:t>
            </w:r>
          </w:p>
        </w:tc>
        <w:tc>
          <w:tcPr>
            <w:tcW w:w="3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8860D0" w14:textId="77777777" w:rsidR="000B40E0" w:rsidRPr="00E944BC" w:rsidRDefault="00000000">
            <w:r w:rsidRPr="00E944BC">
              <w:rPr>
                <w:sz w:val="18"/>
                <w:szCs w:val="18"/>
              </w:rPr>
              <w:t>Use an Observer/event mechanism where there are genuinely multiple independent reactions. Keep it simple (direct call) if there's only one.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F6CC73" w14:textId="17CF9B74" w:rsidR="000B40E0" w:rsidRPr="00E944BC" w:rsidRDefault="00000000">
            <w:r w:rsidRPr="00E944BC">
              <w:rPr>
                <w:sz w:val="18"/>
                <w:szCs w:val="18"/>
              </w:rPr>
              <w:t>Milestone 2 class design for the request status-change flow (</w:t>
            </w:r>
            <w:proofErr w:type="spellStart"/>
            <w:r w:rsidRPr="00E944BC">
              <w:rPr>
                <w:sz w:val="18"/>
                <w:szCs w:val="18"/>
              </w:rPr>
              <w:t>RequestService</w:t>
            </w:r>
            <w:proofErr w:type="spellEnd"/>
            <w:r w:rsidRPr="00E944BC">
              <w:rPr>
                <w:sz w:val="18"/>
                <w:szCs w:val="18"/>
              </w:rPr>
              <w:t xml:space="preserve"> </w:t>
            </w:r>
            <w:r w:rsidR="00CF25D6">
              <w:rPr>
                <w:sz w:val="18"/>
                <w:szCs w:val="18"/>
              </w:rPr>
              <w:t>and</w:t>
            </w:r>
            <w:r w:rsidRPr="00E944BC">
              <w:rPr>
                <w:sz w:val="18"/>
                <w:szCs w:val="18"/>
              </w:rPr>
              <w:t xml:space="preserve"> its consumers).</w:t>
            </w:r>
          </w:p>
        </w:tc>
        <w:tc>
          <w:tcPr>
            <w:tcW w:w="31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E3D28" w14:textId="23C1187D" w:rsidR="000B40E0" w:rsidRPr="00E944BC" w:rsidRDefault="00000000">
            <w:r w:rsidRPr="00E944BC">
              <w:rPr>
                <w:sz w:val="18"/>
                <w:szCs w:val="18"/>
              </w:rPr>
              <w:t xml:space="preserve">ADR </w:t>
            </w:r>
            <w:r w:rsidR="00E944BC">
              <w:rPr>
                <w:sz w:val="18"/>
                <w:szCs w:val="18"/>
              </w:rPr>
              <w:t>and</w:t>
            </w:r>
            <w:r w:rsidRPr="00E944BC">
              <w:rPr>
                <w:sz w:val="18"/>
                <w:szCs w:val="18"/>
              </w:rPr>
              <w:t xml:space="preserve"> PED for the pattern choice, class/sequence diagram, RTM link to the notification requirement.</w:t>
            </w:r>
          </w:p>
        </w:tc>
      </w:tr>
      <w:tr w:rsidR="000B40E0" w:rsidRPr="00E944BC" w14:paraId="42F1D5DC" w14:textId="77777777" w:rsidTr="00E944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8DB17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Design problem 2</w:t>
            </w:r>
          </w:p>
          <w:p w14:paraId="6F59E2E9" w14:textId="77777777" w:rsidR="000B40E0" w:rsidRPr="00E944BC" w:rsidRDefault="00000000">
            <w:r w:rsidRPr="00E944BC">
              <w:rPr>
                <w:sz w:val="18"/>
                <w:szCs w:val="18"/>
              </w:rPr>
              <w:t>Request categories may need different rules. Handling this with growing conditionals gets messy and risky to change.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62F183" w14:textId="77777777" w:rsidR="000B40E0" w:rsidRPr="00E944BC" w:rsidRDefault="00000000">
            <w:r w:rsidRPr="00E944BC">
              <w:rPr>
                <w:sz w:val="18"/>
                <w:szCs w:val="18"/>
              </w:rPr>
              <w:t>Conditional logic vs Strategy vs Factory Method. Strategy handles behaviour, Factory handles creation.</w:t>
            </w:r>
          </w:p>
        </w:tc>
        <w:tc>
          <w:tcPr>
            <w:tcW w:w="3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82BF1" w14:textId="77777777" w:rsidR="000B40E0" w:rsidRPr="00E944BC" w:rsidRDefault="00000000">
            <w:r w:rsidRPr="00E944BC">
              <w:rPr>
                <w:sz w:val="18"/>
                <w:szCs w:val="18"/>
              </w:rPr>
              <w:t>Use Strategy only if category behaviour genuinely differs or is likely to change. Otherwise keep the simple conditional logic.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1AB856" w14:textId="77777777" w:rsidR="000B40E0" w:rsidRPr="00E944BC" w:rsidRDefault="00000000">
            <w:r w:rsidRPr="00E944BC">
              <w:rPr>
                <w:sz w:val="18"/>
                <w:szCs w:val="18"/>
              </w:rPr>
              <w:t>Milestone 2 design of the category/request-processing component.</w:t>
            </w:r>
          </w:p>
        </w:tc>
        <w:tc>
          <w:tcPr>
            <w:tcW w:w="31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E716A" w14:textId="571B1C9D" w:rsidR="000B40E0" w:rsidRPr="00E944BC" w:rsidRDefault="00000000">
            <w:r w:rsidRPr="00E944BC">
              <w:rPr>
                <w:sz w:val="18"/>
                <w:szCs w:val="18"/>
              </w:rPr>
              <w:t xml:space="preserve">ADR </w:t>
            </w:r>
            <w:r w:rsidR="00E944BC">
              <w:rPr>
                <w:sz w:val="18"/>
                <w:szCs w:val="18"/>
              </w:rPr>
              <w:t>and</w:t>
            </w:r>
            <w:r w:rsidRPr="00E944BC">
              <w:rPr>
                <w:sz w:val="18"/>
                <w:szCs w:val="18"/>
              </w:rPr>
              <w:t xml:space="preserve"> PED for the Strategy decision, RTM link to the category-processing requirement.</w:t>
            </w:r>
          </w:p>
        </w:tc>
      </w:tr>
      <w:tr w:rsidR="000B40E0" w:rsidRPr="00E944BC" w14:paraId="4FCB7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6378E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Persistence / data</w:t>
            </w:r>
          </w:p>
          <w:p w14:paraId="4DAE2C3C" w14:textId="77777777" w:rsidR="000B40E0" w:rsidRPr="00E944BC" w:rsidRDefault="00000000">
            <w:r w:rsidRPr="00E944BC">
              <w:rPr>
                <w:sz w:val="18"/>
                <w:szCs w:val="18"/>
              </w:rPr>
              <w:t>Request creation touches multiple related writes that must succeed or fail together. One validation layer alone isn't enough, and caching risks stale data.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3D7FC" w14:textId="77777777" w:rsidR="000B40E0" w:rsidRPr="00E944BC" w:rsidRDefault="00000000">
            <w:r w:rsidRPr="00E944BC">
              <w:rPr>
                <w:sz w:val="18"/>
                <w:szCs w:val="18"/>
              </w:rPr>
              <w:t>EF Core automatic vs explicit transactions, client vs application vs database validation, layered vs application-heavy responsibility split.</w:t>
            </w:r>
          </w:p>
        </w:tc>
        <w:tc>
          <w:tcPr>
            <w:tcW w:w="3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19E63" w14:textId="77777777" w:rsidR="000B40E0" w:rsidRPr="00E944BC" w:rsidRDefault="00000000">
            <w:r w:rsidRPr="00E944BC">
              <w:rPr>
                <w:sz w:val="18"/>
                <w:szCs w:val="18"/>
              </w:rPr>
              <w:t>Layered approach: application layer handles business rules, database enforces constraints, request creation wrapped in an explicit transaction. No caching for this data.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60C84" w14:textId="77777777" w:rsidR="000B40E0" w:rsidRPr="00E944BC" w:rsidRDefault="00000000">
            <w:r w:rsidRPr="00E944BC">
              <w:rPr>
                <w:sz w:val="18"/>
                <w:szCs w:val="18"/>
              </w:rPr>
              <w:t>Milestone 2 data model, DB constraints, and the request-creation transaction implementation.</w:t>
            </w:r>
          </w:p>
        </w:tc>
        <w:tc>
          <w:tcPr>
            <w:tcW w:w="31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AE18C" w14:textId="6A55169B" w:rsidR="000B40E0" w:rsidRPr="00E944BC" w:rsidRDefault="00000000">
            <w:r w:rsidRPr="00E944BC">
              <w:rPr>
                <w:sz w:val="18"/>
                <w:szCs w:val="18"/>
              </w:rPr>
              <w:t xml:space="preserve">ADR </w:t>
            </w:r>
            <w:r w:rsidR="00E944BC">
              <w:rPr>
                <w:sz w:val="18"/>
                <w:szCs w:val="18"/>
              </w:rPr>
              <w:t>and</w:t>
            </w:r>
            <w:r w:rsidRPr="00E944BC">
              <w:rPr>
                <w:sz w:val="18"/>
                <w:szCs w:val="18"/>
              </w:rPr>
              <w:t xml:space="preserve"> PED, risk register entry, RTM link to the data-integrity requirement.</w:t>
            </w:r>
          </w:p>
        </w:tc>
      </w:tr>
      <w:tr w:rsidR="000B40E0" w:rsidRPr="00E944BC" w14:paraId="7704DFB7" w14:textId="77777777" w:rsidTr="00E944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A7BF7B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Integration / API</w:t>
            </w:r>
          </w:p>
          <w:p w14:paraId="7D69AC1E" w14:textId="77777777" w:rsidR="000B40E0" w:rsidRPr="00E944BC" w:rsidRDefault="00000000">
            <w:r w:rsidRPr="00E944BC">
              <w:rPr>
                <w:sz w:val="18"/>
                <w:szCs w:val="18"/>
              </w:rPr>
              <w:t>UI and backend need request/response communication with quick feedback and a clear security boundary.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FD0451" w14:textId="77777777" w:rsidR="000B40E0" w:rsidRPr="00E944BC" w:rsidRDefault="00000000">
            <w:r w:rsidRPr="00E944BC">
              <w:rPr>
                <w:sz w:val="18"/>
                <w:szCs w:val="18"/>
              </w:rPr>
              <w:t>In-process interface vs HTTP/REST vs async messaging. REST fits this scope best.</w:t>
            </w:r>
          </w:p>
        </w:tc>
        <w:tc>
          <w:tcPr>
            <w:tcW w:w="3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9B765C" w14:textId="77777777" w:rsidR="000B40E0" w:rsidRPr="00E944BC" w:rsidRDefault="00000000">
            <w:r w:rsidRPr="00E944BC">
              <w:rPr>
                <w:sz w:val="18"/>
                <w:szCs w:val="18"/>
              </w:rPr>
              <w:t>Use HTTP/REST for client–backend communication, with object-level authorisation on every endpoint. Skip async messaging unless a real need for it comes up.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88695" w14:textId="77777777" w:rsidR="000B40E0" w:rsidRPr="00E944BC" w:rsidRDefault="00000000">
            <w:r w:rsidRPr="00E944BC">
              <w:rPr>
                <w:sz w:val="18"/>
                <w:szCs w:val="18"/>
              </w:rPr>
              <w:t>Milestone 2 API/endpoint design and the authentication/authorisation implementation.</w:t>
            </w:r>
          </w:p>
        </w:tc>
        <w:tc>
          <w:tcPr>
            <w:tcW w:w="31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FCFD4" w14:textId="64257DA2" w:rsidR="000B40E0" w:rsidRPr="00E944BC" w:rsidRDefault="00000000">
            <w:r w:rsidRPr="00E944BC">
              <w:rPr>
                <w:sz w:val="18"/>
                <w:szCs w:val="18"/>
              </w:rPr>
              <w:t xml:space="preserve">ADR </w:t>
            </w:r>
            <w:r w:rsidR="00E944BC">
              <w:rPr>
                <w:sz w:val="18"/>
                <w:szCs w:val="18"/>
              </w:rPr>
              <w:t>and</w:t>
            </w:r>
            <w:r w:rsidRPr="00E944BC">
              <w:rPr>
                <w:sz w:val="18"/>
                <w:szCs w:val="18"/>
              </w:rPr>
              <w:t xml:space="preserve"> PED, API/endpoint contract, RTM link to the integration requirement.</w:t>
            </w:r>
          </w:p>
        </w:tc>
      </w:tr>
      <w:tr w:rsidR="000B40E0" w:rsidRPr="00E944BC" w14:paraId="21523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07584F" w14:textId="77777777" w:rsidR="000B40E0" w:rsidRPr="00E944BC" w:rsidRDefault="00000000">
            <w:r w:rsidRPr="00E944BC">
              <w:rPr>
                <w:b/>
                <w:bCs/>
                <w:sz w:val="18"/>
                <w:szCs w:val="18"/>
              </w:rPr>
              <w:t>SCM / CI</w:t>
            </w:r>
          </w:p>
          <w:p w14:paraId="61D386AB" w14:textId="77777777" w:rsidR="000B40E0" w:rsidRPr="00E944BC" w:rsidRDefault="00000000">
            <w:r w:rsidRPr="00E944BC">
              <w:rPr>
                <w:sz w:val="18"/>
                <w:szCs w:val="18"/>
              </w:rPr>
              <w:t>Brief requires a protected main branch and two reviewers. Without clear review criteria and CI gates this can become a box-ticking exercise.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24243" w14:textId="27C919B7" w:rsidR="000B40E0" w:rsidRPr="00E944BC" w:rsidRDefault="00000000">
            <w:r w:rsidRPr="00E944BC">
              <w:rPr>
                <w:sz w:val="18"/>
                <w:szCs w:val="18"/>
              </w:rPr>
              <w:t>GitHub Flow vs Git Flow, CI checks (build</w:t>
            </w:r>
            <w:r w:rsidR="00CF25D6">
              <w:rPr>
                <w:sz w:val="18"/>
                <w:szCs w:val="18"/>
              </w:rPr>
              <w:t xml:space="preserve">, </w:t>
            </w:r>
            <w:r w:rsidRPr="00E944BC">
              <w:rPr>
                <w:sz w:val="18"/>
                <w:szCs w:val="18"/>
              </w:rPr>
              <w:t>tests</w:t>
            </w:r>
            <w:r w:rsidR="00CF25D6">
              <w:rPr>
                <w:sz w:val="18"/>
                <w:szCs w:val="18"/>
              </w:rPr>
              <w:t xml:space="preserve">, </w:t>
            </w:r>
            <w:r w:rsidRPr="00E944BC">
              <w:rPr>
                <w:sz w:val="18"/>
                <w:szCs w:val="18"/>
              </w:rPr>
              <w:t>scans) set as blocking vs warning-only gates.</w:t>
            </w:r>
          </w:p>
        </w:tc>
        <w:tc>
          <w:tcPr>
            <w:tcW w:w="3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4CCA6" w14:textId="77777777" w:rsidR="000B40E0" w:rsidRPr="00E944BC" w:rsidRDefault="00000000">
            <w:r w:rsidRPr="00E944BC">
              <w:rPr>
                <w:sz w:val="18"/>
                <w:szCs w:val="18"/>
              </w:rPr>
              <w:t>GitHub Flow with protected main and mandatory two-reviewer PRs. CI blocks on build/test failure or critical vulnerabilities; linting, coverage and minor vulnerabilities warn only, for now.</w:t>
            </w:r>
          </w:p>
        </w:tc>
        <w:tc>
          <w:tcPr>
            <w:tcW w:w="2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FBBAA6" w14:textId="77777777" w:rsidR="000B40E0" w:rsidRPr="00E944BC" w:rsidRDefault="00000000">
            <w:r w:rsidRPr="00E944BC">
              <w:rPr>
                <w:sz w:val="18"/>
                <w:szCs w:val="18"/>
              </w:rPr>
              <w:t>Repository branch-protection setup and the CI pipeline configuration.</w:t>
            </w:r>
          </w:p>
        </w:tc>
        <w:tc>
          <w:tcPr>
            <w:tcW w:w="31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342A94" w14:textId="2F9CB5AE" w:rsidR="000B40E0" w:rsidRPr="00E944BC" w:rsidRDefault="00000000">
            <w:r w:rsidRPr="00E944BC">
              <w:rPr>
                <w:sz w:val="18"/>
                <w:szCs w:val="18"/>
              </w:rPr>
              <w:t xml:space="preserve">ADR </w:t>
            </w:r>
            <w:r w:rsidR="00E944BC">
              <w:rPr>
                <w:sz w:val="18"/>
                <w:szCs w:val="18"/>
              </w:rPr>
              <w:t>and</w:t>
            </w:r>
            <w:r w:rsidRPr="00E944BC">
              <w:rPr>
                <w:sz w:val="18"/>
                <w:szCs w:val="18"/>
              </w:rPr>
              <w:t xml:space="preserve"> PED, CI pipeline config as application evidence, RTM linking PRs to requirements/ADRs.</w:t>
            </w:r>
          </w:p>
        </w:tc>
      </w:tr>
    </w:tbl>
    <w:p w14:paraId="0C9E4EEB" w14:textId="1554926D" w:rsidR="00E944BC" w:rsidRDefault="00E944BC"/>
    <w:sectPr w:rsidR="00E944BC">
      <w:pgSz w:w="16838" w:h="11907" w:orient="landscape"/>
      <w:pgMar w:top="500" w:right="570" w:bottom="500" w:left="57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C1A"/>
    <w:multiLevelType w:val="hybridMultilevel"/>
    <w:tmpl w:val="C6368290"/>
    <w:lvl w:ilvl="0" w:tplc="604CA762">
      <w:start w:val="1"/>
      <w:numFmt w:val="bullet"/>
      <w:lvlText w:val="●"/>
      <w:lvlJc w:val="left"/>
      <w:pPr>
        <w:ind w:left="720" w:hanging="360"/>
      </w:pPr>
    </w:lvl>
    <w:lvl w:ilvl="1" w:tplc="C2E8E2D6">
      <w:start w:val="1"/>
      <w:numFmt w:val="bullet"/>
      <w:lvlText w:val="○"/>
      <w:lvlJc w:val="left"/>
      <w:pPr>
        <w:ind w:left="1440" w:hanging="360"/>
      </w:pPr>
    </w:lvl>
    <w:lvl w:ilvl="2" w:tplc="B8B2271C">
      <w:start w:val="1"/>
      <w:numFmt w:val="bullet"/>
      <w:lvlText w:val="■"/>
      <w:lvlJc w:val="left"/>
      <w:pPr>
        <w:ind w:left="2160" w:hanging="360"/>
      </w:pPr>
    </w:lvl>
    <w:lvl w:ilvl="3" w:tplc="A934DA52">
      <w:start w:val="1"/>
      <w:numFmt w:val="bullet"/>
      <w:lvlText w:val="●"/>
      <w:lvlJc w:val="left"/>
      <w:pPr>
        <w:ind w:left="2880" w:hanging="360"/>
      </w:pPr>
    </w:lvl>
    <w:lvl w:ilvl="4" w:tplc="11F2D77A">
      <w:start w:val="1"/>
      <w:numFmt w:val="bullet"/>
      <w:lvlText w:val="○"/>
      <w:lvlJc w:val="left"/>
      <w:pPr>
        <w:ind w:left="3600" w:hanging="360"/>
      </w:pPr>
    </w:lvl>
    <w:lvl w:ilvl="5" w:tplc="FC04ABCA">
      <w:start w:val="1"/>
      <w:numFmt w:val="bullet"/>
      <w:lvlText w:val="■"/>
      <w:lvlJc w:val="left"/>
      <w:pPr>
        <w:ind w:left="4320" w:hanging="360"/>
      </w:pPr>
    </w:lvl>
    <w:lvl w:ilvl="6" w:tplc="03C88104">
      <w:start w:val="1"/>
      <w:numFmt w:val="bullet"/>
      <w:lvlText w:val="●"/>
      <w:lvlJc w:val="left"/>
      <w:pPr>
        <w:ind w:left="5040" w:hanging="360"/>
      </w:pPr>
    </w:lvl>
    <w:lvl w:ilvl="7" w:tplc="116EF59E">
      <w:start w:val="1"/>
      <w:numFmt w:val="bullet"/>
      <w:lvlText w:val="●"/>
      <w:lvlJc w:val="left"/>
      <w:pPr>
        <w:ind w:left="5760" w:hanging="360"/>
      </w:pPr>
    </w:lvl>
    <w:lvl w:ilvl="8" w:tplc="75C6CE26">
      <w:start w:val="1"/>
      <w:numFmt w:val="bullet"/>
      <w:lvlText w:val="●"/>
      <w:lvlJc w:val="left"/>
      <w:pPr>
        <w:ind w:left="6480" w:hanging="360"/>
      </w:pPr>
    </w:lvl>
  </w:abstractNum>
  <w:num w:numId="1" w16cid:durableId="663824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0E0"/>
    <w:rsid w:val="000B40E0"/>
    <w:rsid w:val="002F245E"/>
    <w:rsid w:val="00A52E0E"/>
    <w:rsid w:val="00CF25D6"/>
    <w:rsid w:val="00E9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78BA44"/>
  <w15:docId w15:val="{A5C52F98-AB6C-4592-B371-A7898F87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Hermanus Jacobus Bantjes</cp:lastModifiedBy>
  <cp:revision>2</cp:revision>
  <dcterms:created xsi:type="dcterms:W3CDTF">2026-09-15T13:35:00Z</dcterms:created>
  <dcterms:modified xsi:type="dcterms:W3CDTF">2026-09-15T13:35:00Z</dcterms:modified>
</cp:coreProperties>
</file>