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E41F5" w14:textId="4AB3B549" w:rsidR="00540609" w:rsidRDefault="00945212">
      <w:r>
        <w:t>Lentils for Sustainable, and Resilient Food Systems in southern Africa</w:t>
      </w:r>
    </w:p>
    <w:sectPr w:rsidR="0054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12"/>
    <w:rsid w:val="00051405"/>
    <w:rsid w:val="00415683"/>
    <w:rsid w:val="00540609"/>
    <w:rsid w:val="007A68C5"/>
    <w:rsid w:val="00945212"/>
    <w:rsid w:val="00A039FF"/>
    <w:rsid w:val="00E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19A9"/>
  <w15:chartTrackingRefBased/>
  <w15:docId w15:val="{AA435CE2-4963-4A99-804F-E09B9268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Hakunawadi Pswarayi (staff)</dc:creator>
  <cp:keywords/>
  <dc:description/>
  <cp:lastModifiedBy>Hakunawadi Pswarayi (staff)</cp:lastModifiedBy>
  <cp:revision>1</cp:revision>
  <dcterms:created xsi:type="dcterms:W3CDTF">2024-03-28T16:42:00Z</dcterms:created>
  <dcterms:modified xsi:type="dcterms:W3CDTF">2024-03-28T16:44:00Z</dcterms:modified>
</cp:coreProperties>
</file>