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学生退课流程文档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一、文档目的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规范高校学生在线退课业务流程，明确</w:t>
      </w:r>
      <w:r>
        <w:rPr>
          <w:rFonts w:eastAsia="等线" w:ascii="Arial" w:cs="Arial" w:hAnsi="Arial"/>
          <w:b w:val="true"/>
          <w:sz w:val="22"/>
        </w:rPr>
        <w:t>学生、授课教师、教务管理员</w:t>
      </w:r>
      <w:r>
        <w:rPr>
          <w:rFonts w:eastAsia="等线" w:ascii="Arial" w:cs="Arial" w:hAnsi="Arial"/>
          <w:sz w:val="22"/>
        </w:rPr>
        <w:t>各角色操作步骤、审核规则与异常处理逻辑，适用于校园教务管理系统学生退课模块业务落地。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二、适用范围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在校本科生、研究生</w:t>
      </w:r>
      <w:r>
        <w:rPr>
          <w:rFonts w:eastAsia="等线" w:ascii="Arial" w:cs="Arial" w:hAnsi="Arial"/>
          <w:b w:val="true"/>
          <w:sz w:val="22"/>
        </w:rPr>
        <w:t>正常选课退课、试听退课、自愿放弃选课</w:t>
      </w:r>
      <w:r>
        <w:rPr>
          <w:rFonts w:eastAsia="等线" w:ascii="Arial" w:cs="Arial" w:hAnsi="Arial"/>
          <w:sz w:val="22"/>
        </w:rPr>
        <w:t>场景；不含退学、休学、开除等学籍变动类强制退课。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三、参与角色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学生</w:t>
      </w:r>
      <w:r>
        <w:rPr>
          <w:rFonts w:eastAsia="等线" w:ascii="Arial" w:cs="Arial" w:hAnsi="Arial"/>
          <w:sz w:val="22"/>
        </w:rPr>
        <w:t>：发起退课申请、查看审核进度与结果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授课教师</w:t>
      </w:r>
      <w:r>
        <w:rPr>
          <w:rFonts w:eastAsia="等线" w:ascii="Arial" w:cs="Arial" w:hAnsi="Arial"/>
          <w:sz w:val="22"/>
        </w:rPr>
        <w:t>：审核本班学生退课申请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教务管理员</w:t>
      </w:r>
      <w:r>
        <w:rPr>
          <w:rFonts w:eastAsia="等线" w:ascii="Arial" w:cs="Arial" w:hAnsi="Arial"/>
          <w:sz w:val="22"/>
        </w:rPr>
        <w:t>：终审退课申请、维护退课时间、处理异常退课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四、前置条件</w:t>
      </w:r>
      <w:bookmarkEnd w:id="3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学生已登录校园教务管理系统；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学生已成功选修对应课程；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处于学校规定</w:t>
      </w:r>
      <w:r>
        <w:rPr>
          <w:rFonts w:eastAsia="等线" w:ascii="Arial" w:cs="Arial" w:hAnsi="Arial"/>
          <w:b w:val="true"/>
          <w:sz w:val="22"/>
        </w:rPr>
        <w:t>退课开放时间段</w:t>
      </w:r>
      <w:r>
        <w:rPr>
          <w:rFonts w:eastAsia="等线" w:ascii="Arial" w:cs="Arial" w:hAnsi="Arial"/>
          <w:sz w:val="22"/>
        </w:rPr>
        <w:t>内；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课程未结课、无成绩录入、无考勤锁定；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非必修核心限制课程、无学分绑定约束。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五、标准业务流程（正常退课）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 学生发起退课申请</w:t>
      </w:r>
      <w:bookmarkEnd w:id="5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学生登录教务系统，进入</w:t>
      </w:r>
      <w:r>
        <w:rPr>
          <w:rFonts w:eastAsia="等线" w:ascii="Arial" w:cs="Arial" w:hAnsi="Arial"/>
          <w:b w:val="true"/>
          <w:sz w:val="22"/>
        </w:rPr>
        <w:t>个人中心 → 我的课程 → 已选课程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选择需要退选的课程，点击</w:t>
      </w:r>
      <w:r>
        <w:rPr>
          <w:rFonts w:eastAsia="等线" w:ascii="Arial" w:cs="Arial" w:hAnsi="Arial"/>
          <w:b w:val="true"/>
          <w:sz w:val="22"/>
        </w:rPr>
        <w:t>申请退课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填写退课原因（个人时间冲突、课程不符、重修调整等）；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提交退课申请，系统生成退课单号，状态变为</w:t>
      </w:r>
      <w:r>
        <w:rPr>
          <w:rFonts w:eastAsia="等线" w:ascii="Arial" w:cs="Arial" w:hAnsi="Arial"/>
          <w:b w:val="true"/>
          <w:sz w:val="22"/>
        </w:rPr>
        <w:t>待教师审核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 授课教师审核</w:t>
      </w:r>
      <w:bookmarkEnd w:id="6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教师登录教务系统，进入</w:t>
      </w:r>
      <w:r>
        <w:rPr>
          <w:rFonts w:eastAsia="等线" w:ascii="Arial" w:cs="Arial" w:hAnsi="Arial"/>
          <w:b w:val="true"/>
          <w:sz w:val="22"/>
        </w:rPr>
        <w:t>教学管理 → 学生退课审核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查看本班待审核退课列表、学生信息、退课原因；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审核判断：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符合规则：点击</w:t>
      </w:r>
      <w:r>
        <w:rPr>
          <w:rFonts w:eastAsia="等线" w:ascii="Arial" w:cs="Arial" w:hAnsi="Arial"/>
          <w:b w:val="true"/>
          <w:sz w:val="22"/>
        </w:rPr>
        <w:t>同意</w:t>
      </w:r>
      <w:r>
        <w:rPr>
          <w:rFonts w:eastAsia="等线" w:ascii="Arial" w:cs="Arial" w:hAnsi="Arial"/>
          <w:sz w:val="22"/>
        </w:rPr>
        <w:t>，申请流转至</w:t>
      </w:r>
      <w:r>
        <w:rPr>
          <w:rFonts w:eastAsia="等线" w:ascii="Arial" w:cs="Arial" w:hAnsi="Arial"/>
          <w:b w:val="true"/>
          <w:sz w:val="22"/>
        </w:rPr>
        <w:t>教务管理员终审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不符合规则：点击</w:t>
      </w:r>
      <w:r>
        <w:rPr>
          <w:rFonts w:eastAsia="等线" w:ascii="Arial" w:cs="Arial" w:hAnsi="Arial"/>
          <w:b w:val="true"/>
          <w:sz w:val="22"/>
        </w:rPr>
        <w:t>驳回</w:t>
      </w:r>
      <w:r>
        <w:rPr>
          <w:rFonts w:eastAsia="等线" w:ascii="Arial" w:cs="Arial" w:hAnsi="Arial"/>
          <w:sz w:val="22"/>
        </w:rPr>
        <w:t>，填写驳回理由，流程终止，学生可查看驳回原因。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 教务管理员终审</w:t>
      </w:r>
      <w:bookmarkEnd w:id="7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教务管理员进入</w:t>
      </w:r>
      <w:r>
        <w:rPr>
          <w:rFonts w:eastAsia="等线" w:ascii="Arial" w:cs="Arial" w:hAnsi="Arial"/>
          <w:b w:val="true"/>
          <w:sz w:val="22"/>
        </w:rPr>
        <w:t>教务管理 → 退课终审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查看已通过教师审核的退课申请；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核对选课规则、剩余名额、学分要求；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审核通过：确认终审同意；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审核不通过：驳回申请并备注原因。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4. 系统自动处理</w:t>
      </w:r>
      <w:bookmarkEnd w:id="8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终审通过后，系统</w:t>
      </w:r>
      <w:r>
        <w:rPr>
          <w:rFonts w:eastAsia="等线" w:ascii="Arial" w:cs="Arial" w:hAnsi="Arial"/>
          <w:b w:val="true"/>
          <w:sz w:val="22"/>
        </w:rPr>
        <w:t>自动移除学生该课程选课记录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返还课程可选名额、更新学生已修 / 在修学分；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同步清空该学生课程考勤、作业、考试关联数据；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退课状态更新为</w:t>
      </w:r>
      <w:r>
        <w:rPr>
          <w:rFonts w:eastAsia="等线" w:ascii="Arial" w:cs="Arial" w:hAnsi="Arial"/>
          <w:b w:val="true"/>
          <w:sz w:val="22"/>
        </w:rPr>
        <w:t>退课完成</w:t>
      </w:r>
      <w:r>
        <w:rPr>
          <w:rFonts w:eastAsia="等线" w:ascii="Arial" w:cs="Arial" w:hAnsi="Arial"/>
          <w:sz w:val="22"/>
        </w:rPr>
        <w:t>，流程结束。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5. 学生查看结果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学生可在</w:t>
      </w:r>
      <w:r>
        <w:rPr>
          <w:rFonts w:eastAsia="等线" w:ascii="Arial" w:cs="Arial" w:hAnsi="Arial"/>
          <w:b w:val="true"/>
          <w:sz w:val="22"/>
        </w:rPr>
        <w:t>退课申请记录</w:t>
      </w:r>
      <w:r>
        <w:rPr>
          <w:rFonts w:eastAsia="等线" w:ascii="Arial" w:cs="Arial" w:hAnsi="Arial"/>
          <w:sz w:val="22"/>
        </w:rPr>
        <w:t>中，随时查看：待审核、审核中、已通过、已驳回状态。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六、异常流程处理</w:t>
      </w:r>
      <w:bookmarkEnd w:id="10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超出退课时间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系统直接禁止发起退课，提示「已过本学期退课截止时间，无法自主退课」，需线下找教务人工办理。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课程已结课 / 已录成绩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系统拦截退课申请，不允许发起退课。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退课申请被教师 / 教务驳回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学生可查看驳回理由，无异议则流程结束；有异议可线下向学院教务申请申诉。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班级人数低于开班底线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教务可驳回退课，避免课程人数过少无法正常开课。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七、业务规则约束</w:t>
      </w:r>
      <w:bookmarkEnd w:id="11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每门课程仅允许</w:t>
      </w:r>
      <w:r>
        <w:rPr>
          <w:rFonts w:eastAsia="等线" w:ascii="Arial" w:cs="Arial" w:hAnsi="Arial"/>
          <w:b w:val="true"/>
          <w:sz w:val="22"/>
        </w:rPr>
        <w:t>一次退课申请</w:t>
      </w:r>
      <w:r>
        <w:rPr>
          <w:rFonts w:eastAsia="等线" w:ascii="Arial" w:cs="Arial" w:hAnsi="Arial"/>
          <w:sz w:val="22"/>
        </w:rPr>
        <w:t>，驳回后不可重复发起；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必修课、专业核心课限制自主退课，仅允许教务人工处理；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退课完成后，不记录课程成绩，不纳入挂科统计；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退课记录永久存档，便于教务统计与溯源。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八、流程总图（文字版）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学生登录→选择已选课程→发起退课申请→待教师审核</w:t>
        <w:br/>
        <w:t>→教师同意→教务终审→系统移除选课记录→退课完成</w:t>
        <w:br/>
      </w:r>
      <w:r>
        <w:rPr>
          <w:rFonts w:eastAsia="等线" w:ascii="Arial" w:cs="Arial" w:hAnsi="Arial"/>
          <w:sz w:val="22"/>
        </w:rPr>
        <w:t>→教师驳回 / 教务驳回→流程终止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可直接复制到</w:t>
      </w:r>
      <w:r>
        <w:rPr>
          <w:rFonts w:eastAsia="等线" w:ascii="Arial" w:cs="Arial" w:hAnsi="Arial"/>
          <w:b w:val="true"/>
          <w:sz w:val="22"/>
        </w:rPr>
        <w:t>课程设计文档、系统需求说明书、软件实训报告</w:t>
      </w:r>
      <w:r>
        <w:rPr>
          <w:rFonts w:eastAsia="等线" w:ascii="Arial" w:cs="Arial" w:hAnsi="Arial"/>
          <w:sz w:val="22"/>
        </w:rPr>
        <w:t>中使用，需要我帮你画成 \</w:t>
      </w:r>
      <w:r>
        <w:rPr>
          <w:rFonts w:eastAsia="等线" w:ascii="Arial" w:cs="Arial" w:hAnsi="Arial"/>
          <w:i w:val="true"/>
          <w:sz w:val="22"/>
        </w:rPr>
        <w:t>\</w:t>
      </w:r>
      <w:r>
        <w:rPr>
          <w:rFonts w:eastAsia="等线" w:ascii="Arial" w:cs="Arial" w:hAnsi="Arial"/>
          <w:sz w:val="22"/>
        </w:rPr>
        <w:t xml:space="preserve"> 流程图版本（Visio/ProcessOn 文字框图）\</w:t>
      </w:r>
      <w:r>
        <w:rPr>
          <w:rFonts w:eastAsia="等线" w:ascii="Arial" w:cs="Arial" w:hAnsi="Arial"/>
          <w:i w:val="true"/>
          <w:sz w:val="22"/>
        </w:rPr>
        <w:t>\</w:t>
      </w:r>
      <w:r>
        <w:rPr>
          <w:rFonts w:eastAsia="等线" w:ascii="Arial" w:cs="Arial" w:hAnsi="Arial"/>
          <w:sz w:val="22"/>
        </w:rPr>
        <w:t xml:space="preserve"> 也可以告诉我。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254799">
    <w:lvl>
      <w:start w:val="1"/>
      <w:numFmt w:val="decimal"/>
      <w:suff w:val="tab"/>
      <w:lvlText w:val="%1."/>
      <w:rPr>
        <w:color w:val="3370ff"/>
      </w:rPr>
    </w:lvl>
  </w:abstractNum>
  <w:abstractNum w:abstractNumId="2254800">
    <w:lvl>
      <w:start w:val="2"/>
      <w:numFmt w:val="decimal"/>
      <w:suff w:val="tab"/>
      <w:lvlText w:val="%1."/>
      <w:rPr>
        <w:color w:val="3370ff"/>
      </w:rPr>
    </w:lvl>
  </w:abstractNum>
  <w:abstractNum w:abstractNumId="2254801">
    <w:lvl>
      <w:start w:val="3"/>
      <w:numFmt w:val="decimal"/>
      <w:suff w:val="tab"/>
      <w:lvlText w:val="%1."/>
      <w:rPr>
        <w:color w:val="3370ff"/>
      </w:rPr>
    </w:lvl>
  </w:abstractNum>
  <w:abstractNum w:abstractNumId="2254802">
    <w:lvl>
      <w:start w:val="1"/>
      <w:numFmt w:val="decimal"/>
      <w:suff w:val="tab"/>
      <w:lvlText w:val="%1."/>
      <w:rPr>
        <w:color w:val="3370ff"/>
      </w:rPr>
    </w:lvl>
  </w:abstractNum>
  <w:abstractNum w:abstractNumId="2254803">
    <w:lvl>
      <w:start w:val="2"/>
      <w:numFmt w:val="decimal"/>
      <w:suff w:val="tab"/>
      <w:lvlText w:val="%1."/>
      <w:rPr>
        <w:color w:val="3370ff"/>
      </w:rPr>
    </w:lvl>
  </w:abstractNum>
  <w:abstractNum w:abstractNumId="2254804">
    <w:lvl>
      <w:start w:val="3"/>
      <w:numFmt w:val="decimal"/>
      <w:suff w:val="tab"/>
      <w:lvlText w:val="%1."/>
      <w:rPr>
        <w:color w:val="3370ff"/>
      </w:rPr>
    </w:lvl>
  </w:abstractNum>
  <w:abstractNum w:abstractNumId="2254805">
    <w:lvl>
      <w:start w:val="4"/>
      <w:numFmt w:val="decimal"/>
      <w:suff w:val="tab"/>
      <w:lvlText w:val="%1."/>
      <w:rPr>
        <w:color w:val="3370ff"/>
      </w:rPr>
    </w:lvl>
  </w:abstractNum>
  <w:abstractNum w:abstractNumId="2254806">
    <w:lvl>
      <w:start w:val="5"/>
      <w:numFmt w:val="decimal"/>
      <w:suff w:val="tab"/>
      <w:lvlText w:val="%1."/>
      <w:rPr>
        <w:color w:val="3370ff"/>
      </w:rPr>
    </w:lvl>
  </w:abstractNum>
  <w:abstractNum w:abstractNumId="2254807">
    <w:lvl>
      <w:start w:val="1"/>
      <w:numFmt w:val="decimal"/>
      <w:suff w:val="tab"/>
      <w:lvlText w:val="%1."/>
      <w:rPr>
        <w:color w:val="3370ff"/>
      </w:rPr>
    </w:lvl>
  </w:abstractNum>
  <w:abstractNum w:abstractNumId="2254808">
    <w:lvl>
      <w:start w:val="2"/>
      <w:numFmt w:val="decimal"/>
      <w:suff w:val="tab"/>
      <w:lvlText w:val="%1."/>
      <w:rPr>
        <w:color w:val="3370ff"/>
      </w:rPr>
    </w:lvl>
  </w:abstractNum>
  <w:abstractNum w:abstractNumId="2254809">
    <w:lvl>
      <w:start w:val="3"/>
      <w:numFmt w:val="decimal"/>
      <w:suff w:val="tab"/>
      <w:lvlText w:val="%1."/>
      <w:rPr>
        <w:color w:val="3370ff"/>
      </w:rPr>
    </w:lvl>
  </w:abstractNum>
  <w:abstractNum w:abstractNumId="2254810">
    <w:lvl>
      <w:start w:val="4"/>
      <w:numFmt w:val="decimal"/>
      <w:suff w:val="tab"/>
      <w:lvlText w:val="%1."/>
      <w:rPr>
        <w:color w:val="3370ff"/>
      </w:rPr>
    </w:lvl>
  </w:abstractNum>
  <w:abstractNum w:abstractNumId="2254811">
    <w:lvl>
      <w:start w:val="1"/>
      <w:numFmt w:val="decimal"/>
      <w:suff w:val="tab"/>
      <w:lvlText w:val="%1."/>
      <w:rPr>
        <w:color w:val="3370ff"/>
      </w:rPr>
    </w:lvl>
  </w:abstractNum>
  <w:abstractNum w:abstractNumId="2254812">
    <w:lvl>
      <w:start w:val="2"/>
      <w:numFmt w:val="decimal"/>
      <w:suff w:val="tab"/>
      <w:lvlText w:val="%1."/>
      <w:rPr>
        <w:color w:val="3370ff"/>
      </w:rPr>
    </w:lvl>
  </w:abstractNum>
  <w:abstractNum w:abstractNumId="2254813">
    <w:lvl>
      <w:start w:val="3"/>
      <w:numFmt w:val="decimal"/>
      <w:suff w:val="tab"/>
      <w:lvlText w:val="%1."/>
      <w:rPr>
        <w:color w:val="3370ff"/>
      </w:rPr>
    </w:lvl>
  </w:abstractNum>
  <w:abstractNum w:abstractNumId="2254814">
    <w:lvl>
      <w:numFmt w:val="bullet"/>
      <w:suff w:val="tab"/>
      <w:lvlText w:val="￮"/>
      <w:rPr>
        <w:color w:val="3370ff"/>
      </w:rPr>
    </w:lvl>
  </w:abstractNum>
  <w:abstractNum w:abstractNumId="2254815">
    <w:lvl>
      <w:numFmt w:val="bullet"/>
      <w:suff w:val="tab"/>
      <w:lvlText w:val="￮"/>
      <w:rPr>
        <w:color w:val="3370ff"/>
      </w:rPr>
    </w:lvl>
  </w:abstractNum>
  <w:abstractNum w:abstractNumId="2254816">
    <w:lvl>
      <w:start w:val="1"/>
      <w:numFmt w:val="decimal"/>
      <w:suff w:val="tab"/>
      <w:lvlText w:val="%1."/>
      <w:rPr>
        <w:color w:val="3370ff"/>
      </w:rPr>
    </w:lvl>
  </w:abstractNum>
  <w:abstractNum w:abstractNumId="2254817">
    <w:lvl>
      <w:start w:val="2"/>
      <w:numFmt w:val="decimal"/>
      <w:suff w:val="tab"/>
      <w:lvlText w:val="%1."/>
      <w:rPr>
        <w:color w:val="3370ff"/>
      </w:rPr>
    </w:lvl>
  </w:abstractNum>
  <w:abstractNum w:abstractNumId="2254818">
    <w:lvl>
      <w:start w:val="3"/>
      <w:numFmt w:val="decimal"/>
      <w:suff w:val="tab"/>
      <w:lvlText w:val="%1."/>
      <w:rPr>
        <w:color w:val="3370ff"/>
      </w:rPr>
    </w:lvl>
  </w:abstractNum>
  <w:abstractNum w:abstractNumId="2254819">
    <w:lvl>
      <w:start w:val="4"/>
      <w:numFmt w:val="decimal"/>
      <w:suff w:val="tab"/>
      <w:lvlText w:val="%1."/>
      <w:rPr>
        <w:color w:val="3370ff"/>
      </w:rPr>
    </w:lvl>
  </w:abstractNum>
  <w:abstractNum w:abstractNumId="2254820">
    <w:lvl>
      <w:start w:val="5"/>
      <w:numFmt w:val="decimal"/>
      <w:suff w:val="tab"/>
      <w:lvlText w:val="%1."/>
      <w:rPr>
        <w:color w:val="3370ff"/>
      </w:rPr>
    </w:lvl>
  </w:abstractNum>
  <w:abstractNum w:abstractNumId="2254821">
    <w:lvl>
      <w:start w:val="1"/>
      <w:numFmt w:val="decimal"/>
      <w:suff w:val="tab"/>
      <w:lvlText w:val="%1."/>
      <w:rPr>
        <w:color w:val="3370ff"/>
      </w:rPr>
    </w:lvl>
  </w:abstractNum>
  <w:abstractNum w:abstractNumId="2254822">
    <w:lvl>
      <w:start w:val="2"/>
      <w:numFmt w:val="decimal"/>
      <w:suff w:val="tab"/>
      <w:lvlText w:val="%1."/>
      <w:rPr>
        <w:color w:val="3370ff"/>
      </w:rPr>
    </w:lvl>
  </w:abstractNum>
  <w:abstractNum w:abstractNumId="2254823">
    <w:lvl>
      <w:start w:val="3"/>
      <w:numFmt w:val="decimal"/>
      <w:suff w:val="tab"/>
      <w:lvlText w:val="%1."/>
      <w:rPr>
        <w:color w:val="3370ff"/>
      </w:rPr>
    </w:lvl>
  </w:abstractNum>
  <w:abstractNum w:abstractNumId="2254824">
    <w:lvl>
      <w:start w:val="4"/>
      <w:numFmt w:val="decimal"/>
      <w:suff w:val="tab"/>
      <w:lvlText w:val="%1."/>
      <w:rPr>
        <w:color w:val="3370ff"/>
      </w:rPr>
    </w:lvl>
  </w:abstractNum>
  <w:abstractNum w:abstractNumId="2254825">
    <w:lvl>
      <w:start w:val="1"/>
      <w:numFmt w:val="decimal"/>
      <w:suff w:val="tab"/>
      <w:lvlText w:val="%1."/>
      <w:rPr>
        <w:color w:val="3370ff"/>
      </w:rPr>
    </w:lvl>
  </w:abstractNum>
  <w:abstractNum w:abstractNumId="2254826">
    <w:lvl>
      <w:start w:val="2"/>
      <w:numFmt w:val="decimal"/>
      <w:suff w:val="tab"/>
      <w:lvlText w:val="%1."/>
      <w:rPr>
        <w:color w:val="3370ff"/>
      </w:rPr>
    </w:lvl>
  </w:abstractNum>
  <w:abstractNum w:abstractNumId="2254827">
    <w:lvl>
      <w:start w:val="3"/>
      <w:numFmt w:val="decimal"/>
      <w:suff w:val="tab"/>
      <w:lvlText w:val="%1."/>
      <w:rPr>
        <w:color w:val="3370ff"/>
      </w:rPr>
    </w:lvl>
  </w:abstractNum>
  <w:abstractNum w:abstractNumId="2254828">
    <w:lvl>
      <w:start w:val="4"/>
      <w:numFmt w:val="decimal"/>
      <w:suff w:val="tab"/>
      <w:lvlText w:val="%1."/>
      <w:rPr>
        <w:color w:val="3370ff"/>
      </w:rPr>
    </w:lvl>
  </w:abstractNum>
  <w:abstractNum w:abstractNumId="2254829">
    <w:lvl>
      <w:start w:val="1"/>
      <w:numFmt w:val="decimal"/>
      <w:suff w:val="tab"/>
      <w:lvlText w:val="%1."/>
      <w:rPr>
        <w:color w:val="3370ff"/>
      </w:rPr>
    </w:lvl>
  </w:abstractNum>
  <w:abstractNum w:abstractNumId="2254830">
    <w:lvl>
      <w:start w:val="2"/>
      <w:numFmt w:val="decimal"/>
      <w:suff w:val="tab"/>
      <w:lvlText w:val="%1."/>
      <w:rPr>
        <w:color w:val="3370ff"/>
      </w:rPr>
    </w:lvl>
  </w:abstractNum>
  <w:abstractNum w:abstractNumId="2254831">
    <w:lvl>
      <w:start w:val="3"/>
      <w:numFmt w:val="decimal"/>
      <w:suff w:val="tab"/>
      <w:lvlText w:val="%1."/>
      <w:rPr>
        <w:color w:val="3370ff"/>
      </w:rPr>
    </w:lvl>
  </w:abstractNum>
  <w:abstractNum w:abstractNumId="2254832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2254799"/>
  </w:num>
  <w:num w:numId="2">
    <w:abstractNumId w:val="2254800"/>
  </w:num>
  <w:num w:numId="3">
    <w:abstractNumId w:val="2254801"/>
  </w:num>
  <w:num w:numId="4">
    <w:abstractNumId w:val="2254802"/>
  </w:num>
  <w:num w:numId="5">
    <w:abstractNumId w:val="2254803"/>
  </w:num>
  <w:num w:numId="6">
    <w:abstractNumId w:val="2254804"/>
  </w:num>
  <w:num w:numId="7">
    <w:abstractNumId w:val="2254805"/>
  </w:num>
  <w:num w:numId="8">
    <w:abstractNumId w:val="2254806"/>
  </w:num>
  <w:num w:numId="9">
    <w:abstractNumId w:val="2254807"/>
  </w:num>
  <w:num w:numId="10">
    <w:abstractNumId w:val="2254808"/>
  </w:num>
  <w:num w:numId="11">
    <w:abstractNumId w:val="2254809"/>
  </w:num>
  <w:num w:numId="12">
    <w:abstractNumId w:val="2254810"/>
  </w:num>
  <w:num w:numId="13">
    <w:abstractNumId w:val="2254811"/>
  </w:num>
  <w:num w:numId="14">
    <w:abstractNumId w:val="2254812"/>
  </w:num>
  <w:num w:numId="15">
    <w:abstractNumId w:val="2254813"/>
  </w:num>
  <w:num w:numId="16">
    <w:abstractNumId w:val="2254814"/>
  </w:num>
  <w:num w:numId="17">
    <w:abstractNumId w:val="2254815"/>
  </w:num>
  <w:num w:numId="18">
    <w:abstractNumId w:val="2254816"/>
  </w:num>
  <w:num w:numId="19">
    <w:abstractNumId w:val="2254817"/>
  </w:num>
  <w:num w:numId="20">
    <w:abstractNumId w:val="2254818"/>
  </w:num>
  <w:num w:numId="21">
    <w:abstractNumId w:val="2254819"/>
  </w:num>
  <w:num w:numId="22">
    <w:abstractNumId w:val="2254820"/>
  </w:num>
  <w:num w:numId="23">
    <w:abstractNumId w:val="2254821"/>
  </w:num>
  <w:num w:numId="24">
    <w:abstractNumId w:val="2254822"/>
  </w:num>
  <w:num w:numId="25">
    <w:abstractNumId w:val="2254823"/>
  </w:num>
  <w:num w:numId="26">
    <w:abstractNumId w:val="2254824"/>
  </w:num>
  <w:num w:numId="27">
    <w:abstractNumId w:val="2254825"/>
  </w:num>
  <w:num w:numId="28">
    <w:abstractNumId w:val="2254826"/>
  </w:num>
  <w:num w:numId="29">
    <w:abstractNumId w:val="2254827"/>
  </w:num>
  <w:num w:numId="30">
    <w:abstractNumId w:val="2254828"/>
  </w:num>
  <w:num w:numId="31">
    <w:abstractNumId w:val="2254829"/>
  </w:num>
  <w:num w:numId="32">
    <w:abstractNumId w:val="2254830"/>
  </w:num>
  <w:num w:numId="33">
    <w:abstractNumId w:val="2254831"/>
  </w:num>
  <w:num w:numId="34">
    <w:abstractNumId w:val="225483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2026-05-06T11:48:56Z</dcterms:created>
  <dc:creator>Apache POI</dc:creator>
</cp:coreProperties>
</file>