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 xml:space="preserve">EVIDENCIA EVALUATIVA 1</w:t>
      </w:r>
    </w:p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Sistema de Cotización Automátizada y Generación de Presupuestos (EdificaNova)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Práctica Profesionalizante — Comisión B.1 — evolución del Proyecto Integrador del cuatrimestre anterior.</w:t>
      </w:r>
    </w:p>
    <w:p>
      <w:pPr>
        <w:pStyle w:val="Heading1"/>
        <w:spacing w:after="150" w:before="300"/>
      </w:pPr>
      <w:r>
        <w:t xml:space="preserve">1. Documento de requerimientos</w:t>
      </w:r>
    </w:p>
    <w:p>
      <w:pPr>
        <w:pStyle w:val="Heading2"/>
        <w:spacing w:after="120" w:before="250"/>
      </w:pPr>
      <w:r>
        <w:t xml:space="preserve">Pain points de base (heredados del Proyecto Integrador)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rPr>
          <w:tblHeader/>
        </w:trPr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 detectado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PP1</w:t>
            </w:r>
          </w:p>
        </w:tc>
        <w:tc>
          <w:tcPr>
            <w:tcW w:type="dxa" w:w="8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Demora en la respuesta al cliente por cálculo manual de presupuestos.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PP2</w:t>
            </w:r>
          </w:p>
        </w:tc>
        <w:tc>
          <w:tcPr>
            <w:tcW w:type="dxa" w:w="8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Riesgo de error humano en el cálculo de márgenes.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PP3</w:t>
            </w:r>
          </w:p>
        </w:tc>
        <w:tc>
          <w:tcPr>
            <w:tcW w:type="dxa" w:w="8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Pérdida de conversión frente a la competencia por falta de agilidad.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PP4</w:t>
            </w:r>
          </w:p>
        </w:tc>
        <w:tc>
          <w:tcPr>
            <w:tcW w:type="dxa" w:w="8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 de transparencia comercial (costos ocultos para el cliente).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Requerimientos funcionales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600"/>
      </w:tblGrid>
      <w:tr>
        <w:trPr>
          <w:tblHeader/>
        </w:trPr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RF01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ingresar variables del cliente (m², tipología, ubicación) para generar un presupuesto.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PP1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RF02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motor de cálculo debe aplicar automáticamente multiplicadores de costo, logística y tipología constructiva.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PP2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RF03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mostrar el desglose de costos (estructura, logística, márgenes) antes de confirmar el presupuesto.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PP4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RF04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exportar el presupuesto final en PDF con plantilla corporativa.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PP1, PP3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RF05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guardar cada cotización generada para seguimiento comercial posterior.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PP3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Requerimientos no funcionales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600"/>
      </w:tblGrid>
      <w:tr>
        <w:trPr>
          <w:tblHeader/>
        </w:trPr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RNF01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tiempo de generación de un presupuesto no debe superar los 2 minutos desde el ingreso de datos.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PP1, PP3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RNF02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interfaz debe ser utilizable por personal comercial sin conocimientos técnicos.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PP1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RNF03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cálculo debe ser reproducible: mismos inputs → mismo output, sin intervención manual.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PP2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RNF04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correr en un entorno accesible (web, sin instalación local).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PP3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Requerimientos de datos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600"/>
      </w:tblGrid>
      <w:tr>
        <w:trPr>
          <w:tblHeader/>
        </w:trPr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RD01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de multiplicadores por tipología constructiva y zona logística, versionada y editable.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PP2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RD02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histórico de cotizaciones (fecha, cliente, variables, resultado) para trazabilidad.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PP3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RD03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de llamadas comerciales limpio y normalizado, como insumo para detectar patrones de demora.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PP1</w:t>
            </w:r>
          </w:p>
        </w:tc>
      </w:tr>
    </w:tbl>
    <w:p>
      <w:pPr>
        <w:pStyle w:val="Heading1"/>
        <w:spacing w:after="150" w:before="300"/>
      </w:pPr>
      <w:r>
        <w:t xml:space="preserve">2. Diagrama de arquitectura</w:t>
      </w:r>
    </w:p>
    <w:p>
      <w:pPr>
        <w:spacing w:after="160"/>
      </w:pPr>
      <w:r>
        <w:t xml:space="preserve">Boceto de componentes, flujo de datos e integraciones del sistema:</w:t>
      </w:r>
    </w:p>
    <w:p>
      <w:pPr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sz w:val="20"/>
          <w:szCs w:val="20"/>
        </w:rPr>
        <w:t xml:space="preserve">Flujo: el cliente ingresa datos en la interfaz web (Streamlit) → el motor de cálculo aplica las reglas de negocio consultando la base de multiplicadores e histórico → el resultado se exporta como PDF final.</w:t>
      </w:r>
    </w:p>
    <w:p>
      <w:pPr>
        <w:pStyle w:val="Heading1"/>
        <w:spacing w:after="150" w:before="300"/>
      </w:pPr>
      <w:r>
        <w:t xml:space="preserve">3. Justificación breve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Streamlit para la interfaz: </w:t>
      </w:r>
      <w:r>
        <w:rPr>
          <w:sz w:val="22"/>
          <w:szCs w:val="22"/>
        </w:rPr>
        <w:t xml:space="preserve">Se eligió por permitir una interfaz funcional en Python puro, sin necesidad de un desarrollo frontend separado, priorizando velocidad de entrega sobre personalización visual. Se descartó un frontend en React/HTML por el tiempo que insumiría dado el alcance del cuatrimestre.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Motor de reglas embebido (no ML) para el cálculo: </w:t>
      </w:r>
      <w:r>
        <w:rPr>
          <w:sz w:val="22"/>
          <w:szCs w:val="22"/>
        </w:rPr>
        <w:t xml:space="preserve">Se decidió modelar el cálculo como reglas y multiplicadores explícitos en vez de un modelo predictivo, porque los datos históricos disponibles todavía no alcanzan para entrenar un modelo confiable. Se dejó planteado como evolución futura del sistema.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FPDF para exportación: </w:t>
      </w:r>
      <w:r>
        <w:rPr>
          <w:sz w:val="22"/>
          <w:szCs w:val="22"/>
        </w:rPr>
        <w:t xml:space="preserve">Se eligió por ser liviana e integrable directamente en el motor Python, descartando herramientas externas de generación de documentos que hubieran agregado una dependencia de infraestructura innecesaria para un MVP.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Base de multiplicadores editable (no hardcodeada): </w:t>
      </w:r>
      <w:r>
        <w:rPr>
          <w:sz w:val="22"/>
          <w:szCs w:val="22"/>
        </w:rPr>
        <w:t xml:space="preserve">Se decidió versionarla aparte del código para que el equipo comercial pueda ajustar precios sin depender de un redeploy, priorizando mantenibilidad sobre simplicidad de implementación inicial.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99d8bacfaf819388a75a5cb28b6b9621e4135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2026-08-26T23:25:28.559Z</dcterms:created>
  <dcterms:modified xsi:type="dcterms:W3CDTF">2026-08-26T23:25:28.571Z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