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44"/>
          <w:szCs w:val="44"/>
        </w:rPr>
        <w:t xml:space="preserve">STATEMENT OF WORK (SOW)</w:t>
      </w:r>
    </w:p>
    <w:p>
      <w:pPr>
        <w:spacing w:after="600"/>
        <w:jc w:val="center"/>
      </w:pPr>
      <w:r>
        <w:rPr>
          <w:i/>
          <w:iCs/>
          <w:sz w:val="28"/>
          <w:szCs w:val="28"/>
        </w:rPr>
        <w:t xml:space="preserve">EdificaNova — Sistema de Cotización Automatizada y Generación de Presupuestos</w:t>
      </w:r>
    </w:p>
    <w:p>
      <w:pPr>
        <w:spacing w:after="800"/>
      </w:pPr>
    </w:p>
    <w:p>
      <w:pPr>
        <w:spacing w:after="120"/>
        <w:jc w:val="center"/>
      </w:pPr>
      <w:r>
        <w:rPr>
          <w:sz w:val="24"/>
          <w:szCs w:val="24"/>
        </w:rPr>
        <w:t xml:space="preserve">Práctica Profesionalizante — Comisión B.1</w:t>
      </w:r>
    </w:p>
    <w:p>
      <w:pPr>
        <w:spacing w:after="120"/>
        <w:jc w:val="center"/>
      </w:pPr>
      <w:r>
        <w:rPr>
          <w:sz w:val="24"/>
          <w:szCs w:val="24"/>
        </w:rPr>
        <w:t xml:space="preserve">ISPC — Tecnicatura Superior en Ciencia de Datos e Inteligencia Artificial</w:t>
      </w:r>
    </w:p>
    <w:p>
      <w:pPr>
        <w:spacing w:after="120"/>
        <w:jc w:val="center"/>
      </w:pPr>
      <w:r>
        <w:rPr>
          <w:sz w:val="24"/>
          <w:szCs w:val="24"/>
        </w:rPr>
        <w:t xml:space="preserve">Equipo: 6 integrantes</w:t>
      </w:r>
    </w:p>
    <w:p>
      <w:pPr>
        <w:spacing w:after="120"/>
        <w:jc w:val="center"/>
      </w:pPr>
      <w:r>
        <w:rPr>
          <w:sz w:val="24"/>
          <w:szCs w:val="24"/>
        </w:rPr>
        <w:t xml:space="preserve">Duración del proyecto: 3 meses (12 semanas)</w:t>
      </w:r>
    </w:p>
    <w:p>
      <w:pPr>
        <w:spacing w:after="120"/>
        <w:jc w:val="center"/>
      </w:pPr>
      <w:r>
        <w:rPr>
          <w:sz w:val="24"/>
          <w:szCs w:val="24"/>
        </w:rPr>
        <w:t xml:space="preserve">Versión del documento: v1.0</w:t>
      </w:r>
    </w:p>
    <w:p>
      <w:r>
        <w:br w:type="page"/>
      </w:r>
    </w:p>
    <w:p>
      <w:pPr>
        <w:pStyle w:val="Heading1"/>
        <w:spacing w:after="160" w:before="320"/>
      </w:pPr>
      <w:r>
        <w:t xml:space="preserve">1. Resumen ejecutivo</w:t>
      </w:r>
    </w:p>
    <w:p>
      <w:pPr>
        <w:spacing w:after="160" w:line="300" w:lineRule="auto"/>
      </w:pPr>
      <w:r>
        <w:rPr>
          <w:sz w:val="22"/>
          <w:szCs w:val="22"/>
        </w:rPr>
        <w:t xml:space="preserve">Este documento define el alcance, los entregables, la planificación temporal y los criterios de aceptación del proyecto EdificaNova, desarrollado en el marco de la materia Práctica Profesionalizante. El proyecto evoluciona el sistema de cotización definido en el Proyecto Integrador del cuatrimestre anterior, incorporando una arquitectura modular, versionado formal en Git y una planificación iterativa de 3 meses con entregas incrementales.</w:t>
      </w:r>
    </w:p>
    <w:p>
      <w:pPr>
        <w:pStyle w:val="Heading1"/>
        <w:spacing w:after="160" w:before="320"/>
      </w:pPr>
      <w:r>
        <w:t xml:space="preserve">2. Objetivos del proyecto</w:t>
      </w:r>
    </w:p>
    <w:p>
      <w:pPr>
        <w:spacing w:after="160" w:line="300" w:lineRule="auto"/>
      </w:pPr>
      <w:r>
        <w:rPr>
          <w:b/>
          <w:bCs/>
          <w:sz w:val="22"/>
          <w:szCs w:val="22"/>
        </w:rPr>
        <w:t xml:space="preserve">Objetivo general:</w:t>
      </w:r>
    </w:p>
    <w:p>
      <w:pPr>
        <w:spacing w:after="160" w:line="300" w:lineRule="auto"/>
      </w:pPr>
      <w:r>
        <w:rPr>
          <w:sz w:val="22"/>
          <w:szCs w:val="22"/>
        </w:rPr>
        <w:t xml:space="preserve">Desarrollar un sistema que automatice el cálculo y la generación de presupuestos de obra para la constructora, reduciendo los tiempos de respuesta al cliente y los errores de cálculo manual.</w:t>
      </w:r>
    </w:p>
    <w:p>
      <w:pPr>
        <w:spacing w:after="160" w:line="300" w:lineRule="auto"/>
      </w:pPr>
      <w:r>
        <w:rPr>
          <w:b/>
          <w:bCs/>
          <w:sz w:val="22"/>
          <w:szCs w:val="22"/>
        </w:rPr>
        <w:t xml:space="preserve">Objetivos específicos:</w:t>
      </w:r>
    </w:p>
    <w:p>
      <w:pPr>
        <w:pStyle w:val="ListParagraph"/>
        <w:numPr>
          <w:ilvl w:val="0"/>
          <w:numId w:val="1"/>
        </w:numPr>
        <w:spacing w:after="100" w:line="280" w:lineRule="auto"/>
      </w:pPr>
      <w:r>
        <w:rPr>
          <w:sz w:val="22"/>
          <w:szCs w:val="22"/>
        </w:rPr>
        <w:t xml:space="preserve">Digitalizar el ingreso de variables del cliente para el cálculo del presupuesto.</w:t>
      </w:r>
    </w:p>
    <w:p>
      <w:pPr>
        <w:pStyle w:val="ListParagraph"/>
        <w:numPr>
          <w:ilvl w:val="0"/>
          <w:numId w:val="1"/>
        </w:numPr>
        <w:spacing w:after="100" w:line="280" w:lineRule="auto"/>
      </w:pPr>
      <w:r>
        <w:rPr>
          <w:sz w:val="22"/>
          <w:szCs w:val="22"/>
        </w:rPr>
        <w:t xml:space="preserve">Automatizar la aplicación de multiplicadores de costo, logística y sistema constructivo.</w:t>
      </w:r>
    </w:p>
    <w:p>
      <w:pPr>
        <w:pStyle w:val="ListParagraph"/>
        <w:numPr>
          <w:ilvl w:val="0"/>
          <w:numId w:val="1"/>
        </w:numPr>
        <w:spacing w:after="100" w:line="280" w:lineRule="auto"/>
      </w:pPr>
      <w:r>
        <w:rPr>
          <w:sz w:val="22"/>
          <w:szCs w:val="22"/>
        </w:rPr>
        <w:t xml:space="preserve">Generar el presupuesto final en formato PDF.</w:t>
      </w:r>
    </w:p>
    <w:p>
      <w:pPr>
        <w:pStyle w:val="ListParagraph"/>
        <w:numPr>
          <w:ilvl w:val="0"/>
          <w:numId w:val="1"/>
        </w:numPr>
        <w:spacing w:after="100" w:line="280" w:lineRule="auto"/>
      </w:pPr>
      <w:r>
        <w:rPr>
          <w:sz w:val="22"/>
          <w:szCs w:val="22"/>
        </w:rPr>
        <w:t xml:space="preserve">Registrar el histórico de cotizaciones generadas para seguimiento comercial.</w:t>
      </w:r>
    </w:p>
    <w:p>
      <w:pPr>
        <w:pStyle w:val="ListParagraph"/>
        <w:numPr>
          <w:ilvl w:val="0"/>
          <w:numId w:val="1"/>
        </w:numPr>
        <w:spacing w:after="100" w:line="280" w:lineRule="auto"/>
      </w:pPr>
      <w:r>
        <w:rPr>
          <w:sz w:val="22"/>
          <w:szCs w:val="22"/>
        </w:rPr>
        <w:t xml:space="preserve">Desplegar una versión accesible vía web para uso del equipo comercial.</w:t>
      </w:r>
    </w:p>
    <w:p>
      <w:pPr>
        <w:pStyle w:val="Heading1"/>
        <w:spacing w:after="160" w:before="320"/>
      </w:pPr>
      <w:r>
        <w:t xml:space="preserve">3. Alcance del proyecto</w:t>
      </w:r>
    </w:p>
    <w:p>
      <w:pPr>
        <w:pStyle w:val="Heading2"/>
        <w:spacing w:after="120" w:before="240"/>
      </w:pPr>
      <w:r>
        <w:t xml:space="preserve">3.1 Dentro del alcance</w:t>
      </w:r>
    </w:p>
    <w:p>
      <w:pPr>
        <w:pStyle w:val="ListParagraph"/>
        <w:numPr>
          <w:ilvl w:val="0"/>
          <w:numId w:val="1"/>
        </w:numPr>
        <w:spacing w:after="100" w:line="280" w:lineRule="auto"/>
      </w:pPr>
      <w:r>
        <w:rPr>
          <w:sz w:val="22"/>
          <w:szCs w:val="22"/>
        </w:rPr>
        <w:t xml:space="preserve">Interfaz web de ingreso de datos del cliente y especificaciones del proyecto (Streamlit).</w:t>
      </w:r>
    </w:p>
    <w:p>
      <w:pPr>
        <w:pStyle w:val="ListParagraph"/>
        <w:numPr>
          <w:ilvl w:val="0"/>
          <w:numId w:val="1"/>
        </w:numPr>
        <w:spacing w:after="100" w:line="280" w:lineRule="auto"/>
      </w:pPr>
      <w:r>
        <w:rPr>
          <w:sz w:val="22"/>
          <w:szCs w:val="22"/>
        </w:rPr>
        <w:t xml:space="preserve">Motor de cálculo de presupuesto basado en reglas de negocio y multiplicadores configurables.</w:t>
      </w:r>
    </w:p>
    <w:p>
      <w:pPr>
        <w:pStyle w:val="ListParagraph"/>
        <w:numPr>
          <w:ilvl w:val="0"/>
          <w:numId w:val="1"/>
        </w:numPr>
        <w:spacing w:after="100" w:line="280" w:lineRule="auto"/>
      </w:pPr>
      <w:r>
        <w:rPr>
          <w:sz w:val="22"/>
          <w:szCs w:val="22"/>
        </w:rPr>
        <w:t xml:space="preserve">Exportación del presupuesto a PDF con plantilla propia.</w:t>
      </w:r>
    </w:p>
    <w:p>
      <w:pPr>
        <w:pStyle w:val="ListParagraph"/>
        <w:numPr>
          <w:ilvl w:val="0"/>
          <w:numId w:val="1"/>
        </w:numPr>
        <w:spacing w:after="100" w:line="280" w:lineRule="auto"/>
      </w:pPr>
      <w:r>
        <w:rPr>
          <w:sz w:val="22"/>
          <w:szCs w:val="22"/>
        </w:rPr>
        <w:t xml:space="preserve">Persistencia del histórico de cotizaciones generadas.</w:t>
      </w:r>
    </w:p>
    <w:p>
      <w:pPr>
        <w:pStyle w:val="ListParagraph"/>
        <w:numPr>
          <w:ilvl w:val="0"/>
          <w:numId w:val="1"/>
        </w:numPr>
        <w:spacing w:after="100" w:line="280" w:lineRule="auto"/>
      </w:pPr>
      <w:r>
        <w:rPr>
          <w:sz w:val="22"/>
          <w:szCs w:val="22"/>
        </w:rPr>
        <w:t xml:space="preserve">Suite de tests automatizados sobre el motor de cálculo.</w:t>
      </w:r>
    </w:p>
    <w:p>
      <w:pPr>
        <w:pStyle w:val="ListParagraph"/>
        <w:numPr>
          <w:ilvl w:val="0"/>
          <w:numId w:val="1"/>
        </w:numPr>
        <w:spacing w:after="100" w:line="280" w:lineRule="auto"/>
      </w:pPr>
      <w:r>
        <w:rPr>
          <w:sz w:val="22"/>
          <w:szCs w:val="22"/>
        </w:rPr>
        <w:t xml:space="preserve">Despliegue en un entorno accesible (Streamlit Community Cloud).</w:t>
      </w:r>
    </w:p>
    <w:p>
      <w:pPr>
        <w:pStyle w:val="Heading2"/>
        <w:spacing w:after="120" w:before="240"/>
      </w:pPr>
      <w:r>
        <w:t xml:space="preserve">3.2 Fuera de alcance</w:t>
      </w:r>
    </w:p>
    <w:p>
      <w:pPr>
        <w:pStyle w:val="ListParagraph"/>
        <w:numPr>
          <w:ilvl w:val="0"/>
          <w:numId w:val="1"/>
        </w:numPr>
        <w:spacing w:after="100" w:line="280" w:lineRule="auto"/>
      </w:pPr>
      <w:r>
        <w:rPr>
          <w:sz w:val="22"/>
          <w:szCs w:val="22"/>
        </w:rPr>
        <w:t xml:space="preserve">Integración con sistemas contables o de facturación electrónica de la empresa.</w:t>
      </w:r>
    </w:p>
    <w:p>
      <w:pPr>
        <w:pStyle w:val="ListParagraph"/>
        <w:numPr>
          <w:ilvl w:val="0"/>
          <w:numId w:val="1"/>
        </w:numPr>
        <w:spacing w:after="100" w:line="280" w:lineRule="auto"/>
      </w:pPr>
      <w:r>
        <w:rPr>
          <w:sz w:val="22"/>
          <w:szCs w:val="22"/>
        </w:rPr>
        <w:t xml:space="preserve">Predicción de costos mediante Machine Learning.</w:t>
      </w:r>
    </w:p>
    <w:p>
      <w:pPr>
        <w:pStyle w:val="ListParagraph"/>
        <w:numPr>
          <w:ilvl w:val="0"/>
          <w:numId w:val="1"/>
        </w:numPr>
        <w:spacing w:after="100" w:line="280" w:lineRule="auto"/>
      </w:pPr>
      <w:r>
        <w:rPr>
          <w:sz w:val="22"/>
          <w:szCs w:val="22"/>
        </w:rPr>
        <w:t xml:space="preserve">Panel de administración con autenticación de usuarios por roles.</w:t>
      </w:r>
    </w:p>
    <w:p>
      <w:pPr>
        <w:pStyle w:val="ListParagraph"/>
        <w:numPr>
          <w:ilvl w:val="0"/>
          <w:numId w:val="1"/>
        </w:numPr>
        <w:spacing w:after="100" w:line="280" w:lineRule="auto"/>
      </w:pPr>
      <w:r>
        <w:rPr>
          <w:sz w:val="22"/>
          <w:szCs w:val="22"/>
        </w:rPr>
        <w:t xml:space="preserve">Aplicación móvil nativa.</w:t>
      </w:r>
    </w:p>
    <w:p>
      <w:pPr>
        <w:pStyle w:val="ListParagraph"/>
        <w:numPr>
          <w:ilvl w:val="0"/>
          <w:numId w:val="1"/>
        </w:numPr>
        <w:spacing w:after="100" w:line="280" w:lineRule="auto"/>
      </w:pPr>
      <w:r>
        <w:rPr>
          <w:sz w:val="22"/>
          <w:szCs w:val="22"/>
        </w:rPr>
        <w:t xml:space="preserve">Migración de datos históricos previos a este sistema.</w:t>
      </w:r>
    </w:p>
    <w:p>
      <w:pPr>
        <w:spacing w:after="160" w:line="300" w:lineRule="auto"/>
      </w:pPr>
      <w:r>
        <w:rPr>
          <w:i/>
          <w:iCs/>
          <w:sz w:val="22"/>
          <w:szCs w:val="22"/>
        </w:rPr>
        <w:t xml:space="preserve">Los ítems fuera de alcance podrán incorporarse en una etapa posterior al cierre de esta Práctica Profesionalizante, si el equipo o la cátedra lo consideran pertinente.</w:t>
      </w:r>
    </w:p>
    <w:p>
      <w:pPr>
        <w:pStyle w:val="Heading2"/>
        <w:spacing w:after="120" w:before="240"/>
      </w:pPr>
      <w:r>
        <w:t xml:space="preserve">3.3 Alcance opcional (sujeto a tiempo disponible)</w:t>
      </w:r>
    </w:p>
    <w:p>
      <w:pPr>
        <w:spacing w:after="160" w:line="300" w:lineRule="auto"/>
      </w:pPr>
      <w:r>
        <w:rPr>
          <w:sz w:val="22"/>
          <w:szCs w:val="22"/>
        </w:rPr>
        <w:t xml:space="preserve">El proyecto cubre de forma sólida la práctica de ingeniería de software, pero no incluye ningún componente analítico propio de la Tecnicatura en Ciencia de Datos e IA. Se propone el siguiente ítem opcional, de bajo riesgo y recortable sin afectar los entregables evaluados:</w:t>
      </w:r>
    </w:p>
    <w:p>
      <w:pPr>
        <w:pStyle w:val="ListParagraph"/>
        <w:numPr>
          <w:ilvl w:val="0"/>
          <w:numId w:val="1"/>
        </w:numPr>
        <w:spacing w:after="100" w:line="280" w:lineRule="auto"/>
      </w:pPr>
      <w:r>
        <w:rPr>
          <w:sz w:val="22"/>
          <w:szCs w:val="22"/>
        </w:rPr>
        <w:t xml:space="preserve">Módulo de análisis del dataset de llamadas comerciales de la constructora (ya limpio): tiempo real de respuesta del proceso manual, volumen de oportunidades perdidas por demora.</w:t>
      </w:r>
    </w:p>
    <w:p>
      <w:pPr>
        <w:pStyle w:val="ListParagraph"/>
        <w:numPr>
          <w:ilvl w:val="0"/>
          <w:numId w:val="1"/>
        </w:numPr>
        <w:spacing w:after="100" w:line="280" w:lineRule="auto"/>
      </w:pPr>
      <w:r>
        <w:rPr>
          <w:sz w:val="22"/>
          <w:szCs w:val="22"/>
        </w:rPr>
        <w:t xml:space="preserve">Reemplazo de las cifras estimadas del material de defensa (gráfico Antes/Ahora) por hallazgos reales surgidos de ese análisis.</w:t>
      </w:r>
    </w:p>
    <w:p>
      <w:pPr>
        <w:spacing w:after="160" w:line="300" w:lineRule="auto"/>
      </w:pPr>
      <w:r>
        <w:rPr>
          <w:i/>
          <w:iCs/>
          <w:sz w:val="22"/>
          <w:szCs w:val="22"/>
        </w:rPr>
        <w:t xml:space="preserve">Este ítem se planifica para la semana 9-10, una vez estabilizado el núcleo del sistema (v0.3.0), y puede descartarse sin impacto en el cronograma si el tiempo restante no alcanza.</w:t>
      </w:r>
    </w:p>
    <w:p>
      <w:pPr>
        <w:pStyle w:val="Heading1"/>
        <w:spacing w:after="160" w:before="320"/>
      </w:pPr>
      <w:r>
        <w:t xml:space="preserve">4. Entregables y cronograma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4700"/>
        <w:gridCol w:w="1200"/>
      </w:tblGrid>
      <w:tr>
        <w:trPr>
          <w:tblHeader/>
        </w:trPr>
        <w:tc>
          <w:tcPr>
            <w:tcW w:type="dxa" w:w="1300"/>
            <w:shd w:fill="1F3864" w:color="auto" w:val="clear"/>
            <w:vAlign w:val="center"/>
          </w:tcPr>
          <w:p>
            <w:r>
              <w:rPr>
                <w:b/>
                <w:bCs/>
                <w:color w:val="FFFFFF"/>
                <w:sz w:val="20"/>
                <w:szCs w:val="20"/>
              </w:rPr>
              <w:t xml:space="preserve">Período</w:t>
            </w:r>
          </w:p>
        </w:tc>
        <w:tc>
          <w:tcPr>
            <w:tcW w:type="dxa" w:w="2100"/>
            <w:shd w:fill="1F3864" w:color="auto" w:val="clear"/>
            <w:vAlign w:val="center"/>
          </w:tcPr>
          <w:p>
            <w:r>
              <w:rPr>
                <w:b/>
                <w:bCs/>
                <w:color w:val="FFFFFF"/>
                <w:sz w:val="20"/>
                <w:szCs w:val="20"/>
              </w:rPr>
              <w:t xml:space="preserve">Hito</w:t>
            </w:r>
          </w:p>
        </w:tc>
        <w:tc>
          <w:tcPr>
            <w:tcW w:type="dxa" w:w="4700"/>
            <w:shd w:fill="1F3864" w:color="auto" w:val="clear"/>
            <w:vAlign w:val="center"/>
          </w:tcPr>
          <w:p>
            <w:r>
              <w:rPr>
                <w:b/>
                <w:bCs/>
                <w:color w:val="FFFFFF"/>
                <w:sz w:val="20"/>
                <w:szCs w:val="20"/>
              </w:rPr>
              <w:t xml:space="preserve">Entregables</w:t>
            </w:r>
          </w:p>
        </w:tc>
        <w:tc>
          <w:tcPr>
            <w:tcW w:type="dxa" w:w="1200"/>
            <w:shd w:fill="1F3864" w:color="auto" w:val="clear"/>
            <w:vAlign w:val="center"/>
          </w:tcPr>
          <w:p>
            <w:r>
              <w:rPr>
                <w:b/>
                <w:bCs/>
                <w:color w:val="FFFFFF"/>
                <w:sz w:val="20"/>
                <w:szCs w:val="20"/>
              </w:rPr>
              <w:t xml:space="preserve">Tag</w:t>
            </w:r>
          </w:p>
        </w:tc>
      </w:tr>
      <w:tr>
        <w:tc>
          <w:tcPr>
            <w:tcW w:type="dxa" w:w="1300"/>
            <w:vAlign w:val="center"/>
          </w:tcPr>
          <w:p>
            <w:pPr>
              <w:spacing w:line="260" w:lineRule="auto"/>
            </w:pPr>
            <w:r>
              <w:rPr>
                <w:b/>
                <w:bCs/>
                <w:sz w:val="20"/>
                <w:szCs w:val="20"/>
              </w:rPr>
              <w:t xml:space="preserve">Semana 1-2</w:t>
            </w:r>
          </w:p>
        </w:tc>
        <w:tc>
          <w:tcPr>
            <w:tcW w:type="dxa" w:w="2100"/>
            <w:vAlign w:val="center"/>
          </w:tcPr>
          <w:p>
            <w:pPr>
              <w:spacing w:line="260" w:lineRule="auto"/>
            </w:pPr>
            <w:r>
              <w:rPr>
                <w:b/>
                <w:bCs/>
                <w:sz w:val="20"/>
                <w:szCs w:val="20"/>
              </w:rPr>
              <w:t xml:space="preserve">Requerimientos y arquitectura</w:t>
            </w:r>
          </w:p>
        </w:tc>
        <w:tc>
          <w:tcPr>
            <w:tcW w:type="dxa" w:w="4700"/>
            <w:vAlign w:val="center"/>
          </w:tcPr>
          <w:p>
            <w:pPr>
              <w:spacing w:line="260" w:lineRule="auto"/>
            </w:pPr>
            <w:r>
              <w:rPr>
                <w:sz w:val="20"/>
                <w:szCs w:val="20"/>
              </w:rPr>
              <w:t xml:space="preserve">Documento de requerimientos (funcional/no funcional/datos), diagrama de arquitectura, justificación de decisiones, repositorio inicial con README.</w:t>
            </w:r>
          </w:p>
        </w:tc>
        <w:tc>
          <w:tcPr>
            <w:tcW w:type="dxa" w:w="1200"/>
            <w:vAlign w:val="center"/>
          </w:tcPr>
          <w:p>
            <w:pPr>
              <w:spacing w:line="260" w:lineRule="auto"/>
            </w:pPr>
            <w:r>
              <w:rPr>
                <w:b/>
                <w:bCs/>
                <w:sz w:val="20"/>
                <w:szCs w:val="20"/>
              </w:rPr>
              <w:t xml:space="preserve">—</w:t>
            </w:r>
          </w:p>
        </w:tc>
      </w:tr>
      <w:tr>
        <w:tc>
          <w:tcPr>
            <w:tcW w:type="dxa" w:w="1300"/>
            <w:vAlign w:val="center"/>
          </w:tcPr>
          <w:p>
            <w:pPr>
              <w:spacing w:line="260" w:lineRule="auto"/>
            </w:pPr>
            <w:r>
              <w:rPr>
                <w:b/>
                <w:bCs/>
                <w:sz w:val="20"/>
                <w:szCs w:val="20"/>
              </w:rPr>
              <w:t xml:space="preserve">Semana 3-4</w:t>
            </w:r>
          </w:p>
        </w:tc>
        <w:tc>
          <w:tcPr>
            <w:tcW w:type="dxa" w:w="2100"/>
            <w:vAlign w:val="center"/>
          </w:tcPr>
          <w:p>
            <w:pPr>
              <w:spacing w:line="260" w:lineRule="auto"/>
            </w:pPr>
            <w:r>
              <w:rPr>
                <w:b/>
                <w:bCs/>
                <w:sz w:val="20"/>
                <w:szCs w:val="20"/>
              </w:rPr>
              <w:t xml:space="preserve">Esqueleto funcional</w:t>
            </w:r>
          </w:p>
        </w:tc>
        <w:tc>
          <w:tcPr>
            <w:tcW w:type="dxa" w:w="4700"/>
            <w:vAlign w:val="center"/>
          </w:tcPr>
          <w:p>
            <w:pPr>
              <w:spacing w:line="260" w:lineRule="auto"/>
            </w:pPr>
            <w:r>
              <w:rPr>
                <w:sz w:val="20"/>
                <w:szCs w:val="20"/>
              </w:rPr>
              <w:t xml:space="preserve">Interfaz de Streamlit con inputs del cliente, estructura de ramas (main/develop) y tablero de Issues.</w:t>
            </w:r>
          </w:p>
        </w:tc>
        <w:tc>
          <w:tcPr>
            <w:tcW w:type="dxa" w:w="1200"/>
            <w:vAlign w:val="center"/>
          </w:tcPr>
          <w:p>
            <w:pPr>
              <w:spacing w:line="260" w:lineRule="auto"/>
            </w:pPr>
            <w:r>
              <w:rPr>
                <w:b/>
                <w:bCs/>
                <w:sz w:val="20"/>
                <w:szCs w:val="20"/>
              </w:rPr>
              <w:t xml:space="preserve">v0.1.0</w:t>
            </w:r>
          </w:p>
        </w:tc>
      </w:tr>
      <w:tr>
        <w:tc>
          <w:tcPr>
            <w:tcW w:type="dxa" w:w="1300"/>
            <w:vAlign w:val="center"/>
          </w:tcPr>
          <w:p>
            <w:pPr>
              <w:spacing w:line="260" w:lineRule="auto"/>
            </w:pPr>
            <w:r>
              <w:rPr>
                <w:b/>
                <w:bCs/>
                <w:sz w:val="20"/>
                <w:szCs w:val="20"/>
              </w:rPr>
              <w:t xml:space="preserve">Semana 5-7</w:t>
            </w:r>
          </w:p>
        </w:tc>
        <w:tc>
          <w:tcPr>
            <w:tcW w:type="dxa" w:w="2100"/>
            <w:vAlign w:val="center"/>
          </w:tcPr>
          <w:p>
            <w:pPr>
              <w:spacing w:line="260" w:lineRule="auto"/>
            </w:pPr>
            <w:r>
              <w:rPr>
                <w:b/>
                <w:bCs/>
                <w:sz w:val="20"/>
                <w:szCs w:val="20"/>
              </w:rPr>
              <w:t xml:space="preserve">Motor de cálculo</w:t>
            </w:r>
          </w:p>
        </w:tc>
        <w:tc>
          <w:tcPr>
            <w:tcW w:type="dxa" w:w="4700"/>
            <w:vAlign w:val="center"/>
          </w:tcPr>
          <w:p>
            <w:pPr>
              <w:spacing w:line="260" w:lineRule="auto"/>
            </w:pPr>
            <w:r>
              <w:rPr>
                <w:sz w:val="20"/>
                <w:szCs w:val="20"/>
              </w:rPr>
              <w:t xml:space="preserve">Módulo de cálculo aislado y testeado, tabla de multiplicadores externalizada, cálculo real de punta a punta.</w:t>
            </w:r>
          </w:p>
        </w:tc>
        <w:tc>
          <w:tcPr>
            <w:tcW w:type="dxa" w:w="1200"/>
            <w:vAlign w:val="center"/>
          </w:tcPr>
          <w:p>
            <w:pPr>
              <w:spacing w:line="260" w:lineRule="auto"/>
            </w:pPr>
            <w:r>
              <w:rPr>
                <w:b/>
                <w:bCs/>
                <w:sz w:val="20"/>
                <w:szCs w:val="20"/>
              </w:rPr>
              <w:t xml:space="preserve">v0.2.0</w:t>
            </w:r>
          </w:p>
        </w:tc>
      </w:tr>
      <w:tr>
        <w:tc>
          <w:tcPr>
            <w:tcW w:type="dxa" w:w="1300"/>
            <w:vAlign w:val="center"/>
          </w:tcPr>
          <w:p>
            <w:pPr>
              <w:spacing w:line="260" w:lineRule="auto"/>
            </w:pPr>
            <w:r>
              <w:rPr>
                <w:b/>
                <w:bCs/>
                <w:sz w:val="20"/>
                <w:szCs w:val="20"/>
              </w:rPr>
              <w:t xml:space="preserve">Semana 8-9</w:t>
            </w:r>
          </w:p>
        </w:tc>
        <w:tc>
          <w:tcPr>
            <w:tcW w:type="dxa" w:w="2100"/>
            <w:vAlign w:val="center"/>
          </w:tcPr>
          <w:p>
            <w:pPr>
              <w:spacing w:line="260" w:lineRule="auto"/>
            </w:pPr>
            <w:r>
              <w:rPr>
                <w:b/>
                <w:bCs/>
                <w:sz w:val="20"/>
                <w:szCs w:val="20"/>
              </w:rPr>
              <w:t xml:space="preserve">Exportación, persistencia y deploy</w:t>
            </w:r>
          </w:p>
        </w:tc>
        <w:tc>
          <w:tcPr>
            <w:tcW w:type="dxa" w:w="4700"/>
            <w:vAlign w:val="center"/>
          </w:tcPr>
          <w:p>
            <w:pPr>
              <w:spacing w:line="260" w:lineRule="auto"/>
            </w:pPr>
            <w:r>
              <w:rPr>
                <w:sz w:val="20"/>
                <w:szCs w:val="20"/>
              </w:rPr>
              <w:t xml:space="preserve">Exportación a PDF, histórico de cotizaciones persistido, despliegue en Streamlit Cloud.</w:t>
            </w:r>
          </w:p>
        </w:tc>
        <w:tc>
          <w:tcPr>
            <w:tcW w:type="dxa" w:w="1200"/>
            <w:vAlign w:val="center"/>
          </w:tcPr>
          <w:p>
            <w:pPr>
              <w:spacing w:line="260" w:lineRule="auto"/>
            </w:pPr>
            <w:r>
              <w:rPr>
                <w:b/>
                <w:bCs/>
                <w:sz w:val="20"/>
                <w:szCs w:val="20"/>
              </w:rPr>
              <w:t xml:space="preserve">v0.3.0</w:t>
            </w:r>
          </w:p>
        </w:tc>
      </w:tr>
      <w:tr>
        <w:tc>
          <w:tcPr>
            <w:tcW w:type="dxa" w:w="1300"/>
            <w:vAlign w:val="center"/>
          </w:tcPr>
          <w:p>
            <w:pPr>
              <w:spacing w:line="260" w:lineRule="auto"/>
            </w:pPr>
            <w:r>
              <w:rPr>
                <w:b/>
                <w:bCs/>
                <w:sz w:val="20"/>
                <w:szCs w:val="20"/>
              </w:rPr>
              <w:t xml:space="preserve">Semana 9-10</w:t>
            </w:r>
          </w:p>
        </w:tc>
        <w:tc>
          <w:tcPr>
            <w:tcW w:type="dxa" w:w="2100"/>
            <w:vAlign w:val="center"/>
          </w:tcPr>
          <w:p>
            <w:pPr>
              <w:spacing w:line="260" w:lineRule="auto"/>
            </w:pPr>
            <w:r>
              <w:rPr>
                <w:b/>
                <w:bCs/>
                <w:sz w:val="20"/>
                <w:szCs w:val="20"/>
              </w:rPr>
              <w:t xml:space="preserve">Análisis de datos (opcional)</w:t>
            </w:r>
          </w:p>
        </w:tc>
        <w:tc>
          <w:tcPr>
            <w:tcW w:type="dxa" w:w="4700"/>
            <w:vAlign w:val="center"/>
          </w:tcPr>
          <w:p>
            <w:pPr>
              <w:spacing w:line="260" w:lineRule="auto"/>
            </w:pPr>
            <w:r>
              <w:rPr>
                <w:sz w:val="20"/>
                <w:szCs w:val="20"/>
              </w:rPr>
              <w:t xml:space="preserve">Análisis del dataset de llamadas comerciales: tiempo real de respuesta y oportunidades perdidas, para reemplazar cifras estimadas del material de defensa.</w:t>
            </w:r>
          </w:p>
        </w:tc>
        <w:tc>
          <w:tcPr>
            <w:tcW w:type="dxa" w:w="1200"/>
            <w:vAlign w:val="center"/>
          </w:tcPr>
          <w:p>
            <w:pPr>
              <w:spacing w:line="260" w:lineRule="auto"/>
            </w:pPr>
            <w:r>
              <w:rPr>
                <w:b/>
                <w:bCs/>
                <w:sz w:val="20"/>
                <w:szCs w:val="20"/>
              </w:rPr>
              <w:t xml:space="preserve">v0.3.1*</w:t>
            </w:r>
          </w:p>
        </w:tc>
      </w:tr>
      <w:tr>
        <w:tc>
          <w:tcPr>
            <w:tcW w:type="dxa" w:w="1300"/>
            <w:vAlign w:val="center"/>
          </w:tcPr>
          <w:p>
            <w:pPr>
              <w:spacing w:line="260" w:lineRule="auto"/>
            </w:pPr>
            <w:r>
              <w:rPr>
                <w:b/>
                <w:bCs/>
                <w:sz w:val="20"/>
                <w:szCs w:val="20"/>
              </w:rPr>
              <w:t xml:space="preserve">Semana 10-11</w:t>
            </w:r>
          </w:p>
        </w:tc>
        <w:tc>
          <w:tcPr>
            <w:tcW w:type="dxa" w:w="2100"/>
            <w:vAlign w:val="center"/>
          </w:tcPr>
          <w:p>
            <w:pPr>
              <w:spacing w:line="260" w:lineRule="auto"/>
            </w:pPr>
            <w:r>
              <w:rPr>
                <w:b/>
                <w:bCs/>
                <w:sz w:val="20"/>
                <w:szCs w:val="20"/>
              </w:rPr>
              <w:t xml:space="preserve">Pulido y cierre</w:t>
            </w:r>
          </w:p>
        </w:tc>
        <w:tc>
          <w:tcPr>
            <w:tcW w:type="dxa" w:w="4700"/>
            <w:vAlign w:val="center"/>
          </w:tcPr>
          <w:p>
            <w:pPr>
              <w:spacing w:line="260" w:lineRule="auto"/>
            </w:pPr>
            <w:r>
              <w:rPr>
                <w:sz w:val="20"/>
                <w:szCs w:val="20"/>
              </w:rPr>
              <w:t xml:space="preserve">Corrección de bugs, ajuste de UX, documentación técnica del repositorio.</w:t>
            </w:r>
          </w:p>
        </w:tc>
        <w:tc>
          <w:tcPr>
            <w:tcW w:type="dxa" w:w="1200"/>
            <w:vAlign w:val="center"/>
          </w:tcPr>
          <w:p>
            <w:pPr>
              <w:spacing w:line="260" w:lineRule="auto"/>
            </w:pPr>
            <w:r>
              <w:rPr>
                <w:b/>
                <w:bCs/>
                <w:sz w:val="20"/>
                <w:szCs w:val="20"/>
              </w:rPr>
              <w:t xml:space="preserve">v0.4.0</w:t>
            </w:r>
          </w:p>
        </w:tc>
      </w:tr>
      <w:tr>
        <w:tc>
          <w:tcPr>
            <w:tcW w:type="dxa" w:w="1300"/>
            <w:vAlign w:val="center"/>
          </w:tcPr>
          <w:p>
            <w:pPr>
              <w:spacing w:line="260" w:lineRule="auto"/>
            </w:pPr>
            <w:r>
              <w:rPr>
                <w:b/>
                <w:bCs/>
                <w:sz w:val="20"/>
                <w:szCs w:val="20"/>
              </w:rPr>
              <w:t xml:space="preserve">Semana 12</w:t>
            </w:r>
          </w:p>
        </w:tc>
        <w:tc>
          <w:tcPr>
            <w:tcW w:type="dxa" w:w="2100"/>
            <w:vAlign w:val="center"/>
          </w:tcPr>
          <w:p>
            <w:pPr>
              <w:spacing w:line="260" w:lineRule="auto"/>
            </w:pPr>
            <w:r>
              <w:rPr>
                <w:b/>
                <w:bCs/>
                <w:sz w:val="20"/>
                <w:szCs w:val="20"/>
              </w:rPr>
              <w:t xml:space="preserve">Defensa</w:t>
            </w:r>
          </w:p>
        </w:tc>
        <w:tc>
          <w:tcPr>
            <w:tcW w:type="dxa" w:w="4700"/>
            <w:vAlign w:val="center"/>
          </w:tcPr>
          <w:p>
            <w:pPr>
              <w:spacing w:line="260" w:lineRule="auto"/>
            </w:pPr>
            <w:r>
              <w:rPr>
                <w:sz w:val="20"/>
                <w:szCs w:val="20"/>
              </w:rPr>
              <w:t xml:space="preserve">Material de defensa (video/poster), versión final estable, ensayo de presentación.</w:t>
            </w:r>
          </w:p>
        </w:tc>
        <w:tc>
          <w:tcPr>
            <w:tcW w:type="dxa" w:w="1200"/>
            <w:vAlign w:val="center"/>
          </w:tcPr>
          <w:p>
            <w:pPr>
              <w:spacing w:line="260" w:lineRule="auto"/>
            </w:pPr>
            <w:r>
              <w:rPr>
                <w:b/>
                <w:bCs/>
                <w:sz w:val="20"/>
                <w:szCs w:val="20"/>
              </w:rPr>
              <w:t xml:space="preserve">v1.0.0</w:t>
            </w:r>
          </w:p>
        </w:tc>
      </w:tr>
    </w:tbl>
    <w:p>
      <w:pPr>
        <w:spacing w:after="160" w:line="300" w:lineRule="auto"/>
      </w:pPr>
      <w:r>
        <w:rPr>
          <w:i/>
          <w:iCs/>
          <w:sz w:val="20"/>
          <w:szCs w:val="20"/>
        </w:rPr>
        <w:t xml:space="preserve">* v0.3.1 corresponde al ítem opcional descripto en la sección 3.3. No es un entregable evaluable obligatorio de Práctica Profesionalizante.</w:t>
      </w:r>
    </w:p>
    <w:p>
      <w:pPr>
        <w:pStyle w:val="Heading1"/>
        <w:spacing w:after="160" w:before="320"/>
      </w:pPr>
      <w:r>
        <w:t xml:space="preserve">5. Organización del equipo</w:t>
      </w:r>
    </w:p>
    <w:p>
      <w:pPr>
        <w:spacing w:after="160" w:line="300" w:lineRule="auto"/>
      </w:pPr>
      <w:r>
        <w:rPr>
          <w:sz w:val="22"/>
          <w:szCs w:val="22"/>
        </w:rPr>
        <w:t xml:space="preserve">El equipo de 6 integrantes se organiza en 3 subequipos de 2 personas cada uno, trabajando en paralelo a partir de la semana 3 y sincronizando en la semana 7-8, cuando el motor de cálculo queda estable.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3864" w:color="auto" w:val="clear"/>
            <w:vAlign w:val="center"/>
          </w:tcPr>
          <w:p>
            <w:r>
              <w:rPr>
                <w:b/>
                <w:bCs/>
                <w:color w:val="FFFFFF"/>
                <w:sz w:val="20"/>
                <w:szCs w:val="20"/>
              </w:rPr>
              <w:t xml:space="preserve">Subequipo</w:t>
            </w:r>
          </w:p>
        </w:tc>
        <w:tc>
          <w:tcPr>
            <w:tcW w:type="dxa" w:w="6500"/>
            <w:shd w:fill="1F3864" w:color="auto" w:val="clear"/>
            <w:vAlign w:val="center"/>
          </w:tcPr>
          <w:p>
            <w:r>
              <w:rPr>
                <w:b/>
                <w:bCs/>
                <w:color w:val="FFFFFF"/>
                <w:sz w:val="20"/>
                <w:szCs w:val="20"/>
              </w:rPr>
              <w:t xml:space="preserve">Responsabilidad principal</w:t>
            </w:r>
          </w:p>
        </w:tc>
      </w:tr>
      <w:tr>
        <w:tc>
          <w:tcPr>
            <w:tcW w:type="dxa" w:w="2800"/>
            <w:vAlign w:val="center"/>
          </w:tcPr>
          <w:p>
            <w:pPr>
              <w:spacing w:line="260" w:lineRule="auto"/>
            </w:pPr>
            <w:r>
              <w:rPr>
                <w:b/>
                <w:bCs/>
                <w:sz w:val="20"/>
                <w:szCs w:val="20"/>
              </w:rPr>
              <w:t xml:space="preserve">Frontend / UX</w:t>
            </w:r>
          </w:p>
        </w:tc>
        <w:tc>
          <w:tcPr>
            <w:tcW w:type="dxa" w:w="6500"/>
            <w:vAlign w:val="center"/>
          </w:tcPr>
          <w:p>
            <w:pPr>
              <w:spacing w:line="260" w:lineRule="auto"/>
            </w:pPr>
            <w:r>
              <w:rPr>
                <w:sz w:val="20"/>
                <w:szCs w:val="20"/>
              </w:rPr>
              <w:t xml:space="preserve">Interfaz de Streamlit, experiencia de usuario, despliegue en Streamlit Cloud.</w:t>
            </w:r>
          </w:p>
        </w:tc>
      </w:tr>
      <w:tr>
        <w:tc>
          <w:tcPr>
            <w:tcW w:type="dxa" w:w="2800"/>
            <w:vAlign w:val="center"/>
          </w:tcPr>
          <w:p>
            <w:pPr>
              <w:spacing w:line="260" w:lineRule="auto"/>
            </w:pPr>
            <w:r>
              <w:rPr>
                <w:b/>
                <w:bCs/>
                <w:sz w:val="20"/>
                <w:szCs w:val="20"/>
              </w:rPr>
              <w:t xml:space="preserve">Backend / Lógica</w:t>
            </w:r>
          </w:p>
        </w:tc>
        <w:tc>
          <w:tcPr>
            <w:tcW w:type="dxa" w:w="6500"/>
            <w:vAlign w:val="center"/>
          </w:tcPr>
          <w:p>
            <w:pPr>
              <w:spacing w:line="260" w:lineRule="auto"/>
            </w:pPr>
            <w:r>
              <w:rPr>
                <w:sz w:val="20"/>
                <w:szCs w:val="20"/>
              </w:rPr>
              <w:t xml:space="preserve">Motor de cálculo, reglas de negocio, tests unitarios.</w:t>
            </w:r>
          </w:p>
        </w:tc>
      </w:tr>
      <w:tr>
        <w:tc>
          <w:tcPr>
            <w:tcW w:type="dxa" w:w="2800"/>
            <w:vAlign w:val="center"/>
          </w:tcPr>
          <w:p>
            <w:pPr>
              <w:spacing w:line="260" w:lineRule="auto"/>
            </w:pPr>
            <w:r>
              <w:rPr>
                <w:b/>
                <w:bCs/>
                <w:sz w:val="20"/>
                <w:szCs w:val="20"/>
              </w:rPr>
              <w:t xml:space="preserve">Datos / Exportación</w:t>
            </w:r>
          </w:p>
        </w:tc>
        <w:tc>
          <w:tcPr>
            <w:tcW w:type="dxa" w:w="6500"/>
            <w:vAlign w:val="center"/>
          </w:tcPr>
          <w:p>
            <w:pPr>
              <w:spacing w:line="260" w:lineRule="auto"/>
            </w:pPr>
            <w:r>
              <w:rPr>
                <w:sz w:val="20"/>
                <w:szCs w:val="20"/>
              </w:rPr>
              <w:t xml:space="preserve">Generación de PDF, persistencia del histórico, tabla de multiplicadores.</w:t>
            </w:r>
          </w:p>
        </w:tc>
      </w:tr>
    </w:tbl>
    <w:p>
      <w:pPr>
        <w:pStyle w:val="Heading1"/>
        <w:spacing w:after="160" w:before="320"/>
      </w:pPr>
      <w:r>
        <w:t xml:space="preserve">6. Metodología de trabajo y versionado</w:t>
      </w:r>
    </w:p>
    <w:p>
      <w:pPr>
        <w:spacing w:after="160" w:line="300" w:lineRule="auto"/>
      </w:pPr>
      <w:r>
        <w:rPr>
          <w:b/>
          <w:bCs/>
          <w:sz w:val="22"/>
          <w:szCs w:val="22"/>
        </w:rPr>
        <w:t xml:space="preserve">Ramas:</w:t>
      </w:r>
    </w:p>
    <w:p>
      <w:pPr>
        <w:pStyle w:val="ListParagraph"/>
        <w:numPr>
          <w:ilvl w:val="0"/>
          <w:numId w:val="1"/>
        </w:numPr>
        <w:spacing w:after="100" w:line="280" w:lineRule="auto"/>
      </w:pPr>
      <w:r>
        <w:rPr>
          <w:sz w:val="22"/>
          <w:szCs w:val="22"/>
        </w:rPr>
        <w:t xml:space="preserve">main: siempre estable, refleja lo entregado en cada hito.</w:t>
      </w:r>
    </w:p>
    <w:p>
      <w:pPr>
        <w:pStyle w:val="ListParagraph"/>
        <w:numPr>
          <w:ilvl w:val="0"/>
          <w:numId w:val="1"/>
        </w:numPr>
        <w:spacing w:after="100" w:line="280" w:lineRule="auto"/>
      </w:pPr>
      <w:r>
        <w:rPr>
          <w:sz w:val="22"/>
          <w:szCs w:val="22"/>
        </w:rPr>
        <w:t xml:space="preserve">develop: integración de features antes de pasar a main.</w:t>
      </w:r>
    </w:p>
    <w:p>
      <w:pPr>
        <w:pStyle w:val="ListParagraph"/>
        <w:numPr>
          <w:ilvl w:val="0"/>
          <w:numId w:val="1"/>
        </w:numPr>
        <w:spacing w:after="100" w:line="280" w:lineRule="auto"/>
      </w:pPr>
      <w:r>
        <w:rPr>
          <w:sz w:val="22"/>
          <w:szCs w:val="22"/>
        </w:rPr>
        <w:t xml:space="preserve">feature/nombre-corto: una rama por historia de usuario, mergeada a develop vía Pull Request.</w:t>
      </w:r>
    </w:p>
    <w:p>
      <w:pPr>
        <w:spacing w:after="160" w:line="300" w:lineRule="auto"/>
      </w:pPr>
      <w:r>
        <w:rPr>
          <w:b/>
          <w:bCs/>
          <w:sz w:val="22"/>
          <w:szCs w:val="22"/>
        </w:rPr>
        <w:t xml:space="preserve">Versionado semántico (SemVer):</w:t>
      </w:r>
    </w:p>
    <w:p>
      <w:pPr>
        <w:pStyle w:val="ListParagraph"/>
        <w:numPr>
          <w:ilvl w:val="0"/>
          <w:numId w:val="1"/>
        </w:numPr>
        <w:spacing w:after="100" w:line="280" w:lineRule="auto"/>
      </w:pPr>
      <w:r>
        <w:rPr>
          <w:sz w:val="22"/>
          <w:szCs w:val="22"/>
        </w:rPr>
        <w:t xml:space="preserve">MAJOR: cambio grande de arquitectura o alcance.</w:t>
      </w:r>
    </w:p>
    <w:p>
      <w:pPr>
        <w:pStyle w:val="ListParagraph"/>
        <w:numPr>
          <w:ilvl w:val="0"/>
          <w:numId w:val="1"/>
        </w:numPr>
        <w:spacing w:after="100" w:line="280" w:lineRule="auto"/>
      </w:pPr>
      <w:r>
        <w:rPr>
          <w:sz w:val="22"/>
          <w:szCs w:val="22"/>
        </w:rPr>
        <w:t xml:space="preserve">MINOR: nueva funcionalidad completa (ver tabla de hitos).</w:t>
      </w:r>
    </w:p>
    <w:p>
      <w:pPr>
        <w:pStyle w:val="ListParagraph"/>
        <w:numPr>
          <w:ilvl w:val="0"/>
          <w:numId w:val="1"/>
        </w:numPr>
        <w:spacing w:after="100" w:line="280" w:lineRule="auto"/>
      </w:pPr>
      <w:r>
        <w:rPr>
          <w:sz w:val="22"/>
          <w:szCs w:val="22"/>
        </w:rPr>
        <w:t xml:space="preserve">PATCH: correcciones o ajustes menores.</w:t>
      </w:r>
    </w:p>
    <w:p>
      <w:pPr>
        <w:spacing w:after="160" w:line="300" w:lineRule="auto"/>
      </w:pPr>
      <w:r>
        <w:rPr>
          <w:sz w:val="22"/>
          <w:szCs w:val="22"/>
        </w:rPr>
        <w:t xml:space="preserve">Cada hito del cronograma se cierra con un tag de Git (v0.1.0, v0.2.0, etc.), anclando el estado exacto del código a cada entrega evaluada de la materia.</w:t>
      </w:r>
    </w:p>
    <w:p>
      <w:pPr>
        <w:spacing w:after="160" w:line="300" w:lineRule="auto"/>
      </w:pPr>
      <w:r>
        <w:rPr>
          <w:b/>
          <w:bCs/>
          <w:sz w:val="22"/>
          <w:szCs w:val="22"/>
        </w:rPr>
        <w:t xml:space="preserve">Commits:</w:t>
      </w:r>
    </w:p>
    <w:p>
      <w:pPr>
        <w:spacing w:after="160" w:line="300" w:lineRule="auto"/>
      </w:pPr>
      <w:r>
        <w:rPr>
          <w:sz w:val="22"/>
          <w:szCs w:val="22"/>
        </w:rPr>
        <w:t xml:space="preserve">Se utiliza la convención de conventional commits (feat:, fix:, docs:, refactor:, test:) para mantener un historial legible y trazable.</w:t>
      </w:r>
    </w:p>
    <w:p>
      <w:pPr>
        <w:pStyle w:val="Heading1"/>
        <w:spacing w:after="160" w:before="320"/>
      </w:pPr>
      <w:r>
        <w:t xml:space="preserve">7. Criterios de aceptación</w:t>
      </w:r>
    </w:p>
    <w:p>
      <w:pPr>
        <w:pStyle w:val="ListParagraph"/>
        <w:numPr>
          <w:ilvl w:val="0"/>
          <w:numId w:val="1"/>
        </w:numPr>
        <w:spacing w:after="100" w:line="280" w:lineRule="auto"/>
      </w:pPr>
      <w:r>
        <w:rPr>
          <w:sz w:val="22"/>
          <w:szCs w:val="22"/>
        </w:rPr>
        <w:t xml:space="preserve">El motor de cálculo cuenta con tests automatizados que pasan en verde antes de cada tag.</w:t>
      </w:r>
    </w:p>
    <w:p>
      <w:pPr>
        <w:pStyle w:val="ListParagraph"/>
        <w:numPr>
          <w:ilvl w:val="0"/>
          <w:numId w:val="1"/>
        </w:numPr>
        <w:spacing w:after="100" w:line="280" w:lineRule="auto"/>
      </w:pPr>
      <w:r>
        <w:rPr>
          <w:sz w:val="22"/>
          <w:szCs w:val="22"/>
        </w:rPr>
        <w:t xml:space="preserve">Cada presupuesto generado puede exportarse correctamente a PDF con los datos ingresados.</w:t>
      </w:r>
    </w:p>
    <w:p>
      <w:pPr>
        <w:pStyle w:val="ListParagraph"/>
        <w:numPr>
          <w:ilvl w:val="0"/>
          <w:numId w:val="1"/>
        </w:numPr>
        <w:spacing w:after="100" w:line="280" w:lineRule="auto"/>
      </w:pPr>
      <w:r>
        <w:rPr>
          <w:sz w:val="22"/>
          <w:szCs w:val="22"/>
        </w:rPr>
        <w:t xml:space="preserve">Toda cotización generada queda registrada en el histórico persistente.</w:t>
      </w:r>
    </w:p>
    <w:p>
      <w:pPr>
        <w:pStyle w:val="ListParagraph"/>
        <w:numPr>
          <w:ilvl w:val="0"/>
          <w:numId w:val="1"/>
        </w:numPr>
        <w:spacing w:after="100" w:line="280" w:lineRule="auto"/>
      </w:pPr>
      <w:r>
        <w:rPr>
          <w:sz w:val="22"/>
          <w:szCs w:val="22"/>
        </w:rPr>
        <w:t xml:space="preserve">La aplicación se encuentra desplegada y accesible públicamente al cierre de la semana 9.</w:t>
      </w:r>
    </w:p>
    <w:p>
      <w:pPr>
        <w:pStyle w:val="ListParagraph"/>
        <w:numPr>
          <w:ilvl w:val="0"/>
          <w:numId w:val="1"/>
        </w:numPr>
        <w:spacing w:after="100" w:line="280" w:lineRule="auto"/>
      </w:pPr>
      <w:r>
        <w:rPr>
          <w:sz w:val="22"/>
          <w:szCs w:val="22"/>
        </w:rPr>
        <w:t xml:space="preserve">El repositorio cuenta con README, CHANGELOG y tags correspondientes a cada hito del cronograma.</w:t>
      </w:r>
    </w:p>
    <w:p>
      <w:pPr>
        <w:pStyle w:val="Heading1"/>
        <w:spacing w:after="160" w:before="320"/>
      </w:pPr>
      <w:r>
        <w:t xml:space="preserve">8. Supuestos y riesgos</w:t>
      </w:r>
    </w:p>
    <w:p>
      <w:pPr>
        <w:spacing w:after="160" w:line="300" w:lineRule="auto"/>
      </w:pPr>
      <w:r>
        <w:rPr>
          <w:b/>
          <w:bCs/>
          <w:sz w:val="22"/>
          <w:szCs w:val="22"/>
        </w:rPr>
        <w:t xml:space="preserve">Supuestos:</w:t>
      </w:r>
    </w:p>
    <w:p>
      <w:pPr>
        <w:pStyle w:val="ListParagraph"/>
        <w:numPr>
          <w:ilvl w:val="0"/>
          <w:numId w:val="1"/>
        </w:numPr>
        <w:spacing w:after="100" w:line="280" w:lineRule="auto"/>
      </w:pPr>
      <w:r>
        <w:rPr>
          <w:sz w:val="22"/>
          <w:szCs w:val="22"/>
        </w:rPr>
        <w:t xml:space="preserve">Los integrantes disponen de tiempo semanal compatible con el resto de sus materias para sostener el cronograma de 12 semanas.</w:t>
      </w:r>
    </w:p>
    <w:p>
      <w:pPr>
        <w:pStyle w:val="ListParagraph"/>
        <w:numPr>
          <w:ilvl w:val="0"/>
          <w:numId w:val="1"/>
        </w:numPr>
        <w:spacing w:after="100" w:line="280" w:lineRule="auto"/>
      </w:pPr>
      <w:r>
        <w:rPr>
          <w:sz w:val="22"/>
          <w:szCs w:val="22"/>
        </w:rPr>
        <w:t xml:space="preserve">La tabla de multiplicadores y costos base es provista o validada por la constructora.</w:t>
      </w:r>
    </w:p>
    <w:p>
      <w:pPr>
        <w:spacing w:after="160" w:line="300" w:lineRule="auto"/>
      </w:pPr>
      <w:r>
        <w:rPr>
          <w:b/>
          <w:bCs/>
          <w:sz w:val="22"/>
          <w:szCs w:val="22"/>
        </w:rPr>
        <w:t xml:space="preserve">Riesgos identificados:</w:t>
      </w:r>
    </w:p>
    <w:p>
      <w:pPr>
        <w:pStyle w:val="ListParagraph"/>
        <w:numPr>
          <w:ilvl w:val="0"/>
          <w:numId w:val="1"/>
        </w:numPr>
        <w:spacing w:after="100" w:line="280" w:lineRule="auto"/>
      </w:pPr>
      <w:r>
        <w:rPr>
          <w:sz w:val="22"/>
          <w:szCs w:val="22"/>
        </w:rPr>
        <w:t xml:space="preserve">Retraso en la sincronización entre subequipos si el motor de cálculo no está estable para la semana 7.</w:t>
      </w:r>
    </w:p>
    <w:p>
      <w:pPr>
        <w:pStyle w:val="ListParagraph"/>
        <w:numPr>
          <w:ilvl w:val="0"/>
          <w:numId w:val="1"/>
        </w:numPr>
        <w:spacing w:after="100" w:line="280" w:lineRule="auto"/>
      </w:pPr>
      <w:r>
        <w:rPr>
          <w:sz w:val="22"/>
          <w:szCs w:val="22"/>
        </w:rPr>
        <w:t xml:space="preserve">Dependencia de disponibilidad de Streamlit Community Cloud para el deploy.</w:t>
      </w:r>
    </w:p>
    <w:p>
      <w:pPr>
        <w:pStyle w:val="ListParagraph"/>
        <w:numPr>
          <w:ilvl w:val="0"/>
          <w:numId w:val="1"/>
        </w:numPr>
        <w:spacing w:after="100" w:line="280" w:lineRule="auto"/>
      </w:pPr>
      <w:r>
        <w:rPr>
          <w:sz w:val="22"/>
          <w:szCs w:val="22"/>
        </w:rPr>
        <w:t xml:space="preserve">Alcance ambicioso frente al tiempo disponible: cualquier funcionalidad fuera de alcance que se incorpore reduce el margen para el pulido final.</w:t>
      </w:r>
    </w:p>
    <w:p>
      <w:pPr>
        <w:pStyle w:val="ListParagraph"/>
        <w:numPr>
          <w:ilvl w:val="0"/>
          <w:numId w:val="1"/>
        </w:numPr>
        <w:spacing w:after="100" w:line="280" w:lineRule="auto"/>
      </w:pPr>
      <w:r>
        <w:rPr>
          <w:sz w:val="22"/>
          <w:szCs w:val="22"/>
        </w:rPr>
        <w:t xml:space="preserve">El ítem opcional de análisis de datos (sección 3.3) es el primero que se recorta si el cronograma se atrasa; no compromete el resto de los entregables.</w:t>
      </w:r>
    </w:p>
    <w:p>
      <w:pPr>
        <w:pStyle w:val="Heading1"/>
        <w:spacing w:after="160" w:before="320"/>
      </w:pPr>
      <w:r>
        <w:t xml:space="preserve">9. Visión de producto — Roadmap futuro</w:t>
      </w:r>
    </w:p>
    <w:p>
      <w:pPr>
        <w:spacing w:after="160" w:line="300" w:lineRule="auto"/>
      </w:pPr>
      <w:r>
        <w:rPr>
          <w:sz w:val="22"/>
          <w:szCs w:val="22"/>
        </w:rPr>
        <w:t xml:space="preserve">Esta sección documenta la versión final a la que apunta EdificaNova como producto, más allá del alcance evaluado en Práctica Profesionalizante (secciones 3 a 8). No forma parte de los entregables de esta materia ni de los criterios de aceptación definidos en la sección 7.</w:t>
      </w:r>
    </w:p>
    <w:p>
      <w:pPr>
        <w:pStyle w:val="Heading2"/>
        <w:spacing w:after="120" w:before="240"/>
      </w:pPr>
      <w:r>
        <w:t xml:space="preserve">9.1 Requerimientos funcionales de la visión final</w:t>
      </w:r>
    </w:p>
    <w:p>
      <w:pPr>
        <w:pStyle w:val="ListParagraph"/>
        <w:numPr>
          <w:ilvl w:val="0"/>
          <w:numId w:val="1"/>
        </w:numPr>
        <w:spacing w:after="100" w:line="280" w:lineRule="auto"/>
      </w:pPr>
      <w:r>
        <w:rPr>
          <w:sz w:val="22"/>
          <w:szCs w:val="22"/>
        </w:rPr>
        <w:t xml:space="preserve">El sistema debe calcular el costo de construcción basado en variables paramétricas (m² y tipología).</w:t>
      </w:r>
    </w:p>
    <w:p>
      <w:pPr>
        <w:pStyle w:val="ListParagraph"/>
        <w:numPr>
          <w:ilvl w:val="0"/>
          <w:numId w:val="1"/>
        </w:numPr>
        <w:spacing w:after="100" w:line="280" w:lineRule="auto"/>
      </w:pPr>
      <w:r>
        <w:rPr>
          <w:sz w:val="22"/>
          <w:szCs w:val="22"/>
        </w:rPr>
        <w:t xml:space="preserve">El sistema debe determinar la distancia logística automáticamente geolocalizando la obra (Google Maps API).</w:t>
      </w:r>
    </w:p>
    <w:p>
      <w:pPr>
        <w:pStyle w:val="ListParagraph"/>
        <w:numPr>
          <w:ilvl w:val="0"/>
          <w:numId w:val="1"/>
        </w:numPr>
        <w:spacing w:after="100" w:line="280" w:lineRule="auto"/>
      </w:pPr>
      <w:r>
        <w:rPr>
          <w:sz w:val="22"/>
          <w:szCs w:val="22"/>
        </w:rPr>
        <w:t xml:space="preserve">El sistema debe exportar un resumen formal en PDF.</w:t>
      </w:r>
    </w:p>
    <w:p>
      <w:pPr>
        <w:pStyle w:val="ListParagraph"/>
        <w:numPr>
          <w:ilvl w:val="0"/>
          <w:numId w:val="1"/>
        </w:numPr>
        <w:spacing w:after="100" w:line="280" w:lineRule="auto"/>
      </w:pPr>
      <w:r>
        <w:rPr>
          <w:sz w:val="22"/>
          <w:szCs w:val="22"/>
        </w:rPr>
        <w:t xml:space="preserve">El sistema debe autocompletar la información de clientes recurrentes.</w:t>
      </w:r>
    </w:p>
    <w:p>
      <w:pPr>
        <w:pStyle w:val="Heading2"/>
        <w:spacing w:after="120" w:before="240"/>
      </w:pPr>
      <w:r>
        <w:t xml:space="preserve">9.2 Requerimientos no funcionales de la visión final</w:t>
      </w:r>
    </w:p>
    <w:p>
      <w:pPr>
        <w:pStyle w:val="ListParagraph"/>
        <w:numPr>
          <w:ilvl w:val="0"/>
          <w:numId w:val="1"/>
        </w:numPr>
        <w:spacing w:after="100" w:line="280" w:lineRule="auto"/>
      </w:pPr>
      <w:r>
        <w:rPr>
          <w:sz w:val="22"/>
          <w:szCs w:val="22"/>
        </w:rPr>
        <w:t xml:space="preserve">Alta disponibilidad mediante despliegue en la nube.</w:t>
      </w:r>
    </w:p>
    <w:p>
      <w:pPr>
        <w:pStyle w:val="ListParagraph"/>
        <w:numPr>
          <w:ilvl w:val="0"/>
          <w:numId w:val="1"/>
        </w:numPr>
        <w:spacing w:after="100" w:line="280" w:lineRule="auto"/>
      </w:pPr>
      <w:r>
        <w:rPr>
          <w:sz w:val="22"/>
          <w:szCs w:val="22"/>
        </w:rPr>
        <w:t xml:space="preserve">Tiempo de respuesta menor a 2 segundos en el procesamiento matemático de la cotización.</w:t>
      </w:r>
    </w:p>
    <w:p>
      <w:pPr>
        <w:pStyle w:val="ListParagraph"/>
        <w:numPr>
          <w:ilvl w:val="0"/>
          <w:numId w:val="1"/>
        </w:numPr>
        <w:spacing w:after="100" w:line="280" w:lineRule="auto"/>
      </w:pPr>
      <w:r>
        <w:rPr>
          <w:sz w:val="22"/>
          <w:szCs w:val="22"/>
        </w:rPr>
        <w:t xml:space="preserve">Escalabilidad para soportar a múltiples asesores operando en simultáneo.</w:t>
      </w:r>
    </w:p>
    <w:p>
      <w:pPr>
        <w:pStyle w:val="Heading2"/>
        <w:spacing w:after="120" w:before="240"/>
      </w:pPr>
      <w:r>
        <w:t xml:space="preserve">9.3 Arquitectura de la visión final</w:t>
      </w:r>
    </w:p>
    <w:p>
      <w:pPr>
        <w:spacing w:after="160" w:line="300" w:lineRule="auto"/>
      </w:pPr>
      <w:r>
        <w:rPr>
          <w:b/>
          <w:bCs/>
          <w:sz w:val="22"/>
          <w:szCs w:val="22"/>
        </w:rPr>
        <w:t xml:space="preserve">Diagrama de alto nivel:</w:t>
      </w:r>
    </w:p>
    <w:p>
      <w:pPr>
        <w:spacing w:after="160" w:line="300" w:lineRule="auto"/>
      </w:pPr>
      <w:r>
        <w:rPr>
          <w:sz w:val="22"/>
          <w:szCs w:val="22"/>
        </w:rPr>
        <w:t xml:space="preserve">El usuario interactúa con un Frontend web (interfaz). Este envía los parámetros a un Backend (motor de procesamiento), el cual consulta una Base de Datos interna (para tarifas y clientes) y una API Externa (para distancias logísticas). El resultado retorna al Frontend y al módulo de exportación documental.</w:t>
      </w:r>
    </w:p>
    <w:p>
      <w:pPr>
        <w:spacing w:after="160" w:line="300" w:lineRule="auto"/>
      </w:pPr>
      <w:r>
        <w:rPr>
          <w:b/>
          <w:bCs/>
          <w:sz w:val="22"/>
          <w:szCs w:val="22"/>
        </w:rPr>
        <w:t xml:space="preserve">Flujo de datos:</w:t>
      </w:r>
    </w:p>
    <w:p>
      <w:pPr>
        <w:spacing w:after="160" w:line="300" w:lineRule="auto"/>
      </w:pPr>
      <w:r>
        <w:rPr>
          <w:sz w:val="22"/>
          <w:szCs w:val="22"/>
        </w:rPr>
        <w:t xml:space="preserve">Input del usuario (formulario web) → Validación de tipos de datos → Consulta a API Externa (transformación de latitud/longitud a kilómetros) → Algoritmo de multiplicación paramétrica (m² x costo x flete) → Renderizado de dashboard → Exportación de salida (conversión a bytes PDF).</w:t>
      </w:r>
    </w:p>
    <w:p>
      <w:pPr>
        <w:pStyle w:val="Heading2"/>
        <w:spacing w:after="120" w:before="240"/>
      </w:pPr>
      <w:r>
        <w:t xml:space="preserve">9.4 Stack tecnológico de la visión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rPr>
          <w:tblHeader/>
        </w:trPr>
        <w:tc>
          <w:tcPr>
            <w:tcW w:type="dxa" w:w="2200"/>
            <w:shd w:fill="1F3864" w:color="auto" w:val="clear"/>
            <w:vAlign w:val="center"/>
          </w:tcPr>
          <w:p>
            <w:r>
              <w:rPr>
                <w:b/>
                <w:bCs/>
                <w:color w:val="FFFFFF"/>
                <w:sz w:val="20"/>
                <w:szCs w:val="20"/>
              </w:rPr>
              <w:t xml:space="preserve">Componente</w:t>
            </w:r>
          </w:p>
        </w:tc>
        <w:tc>
          <w:tcPr>
            <w:tcW w:type="dxa" w:w="2200"/>
            <w:shd w:fill="1F3864" w:color="auto" w:val="clear"/>
            <w:vAlign w:val="center"/>
          </w:tcPr>
          <w:p>
            <w:r>
              <w:rPr>
                <w:b/>
                <w:bCs/>
                <w:color w:val="FFFFFF"/>
                <w:sz w:val="20"/>
                <w:szCs w:val="20"/>
              </w:rPr>
              <w:t xml:space="preserve">Tecnología elegida</w:t>
            </w:r>
          </w:p>
        </w:tc>
        <w:tc>
          <w:tcPr>
            <w:tcW w:type="dxa" w:w="4900"/>
            <w:shd w:fill="1F3864" w:color="auto" w:val="clear"/>
            <w:vAlign w:val="center"/>
          </w:tcPr>
          <w:p>
            <w:r>
              <w:rPr>
                <w:b/>
                <w:bCs/>
                <w:color w:val="FFFFFF"/>
                <w:sz w:val="20"/>
                <w:szCs w:val="20"/>
              </w:rPr>
              <w:t xml:space="preserve">Justificación</w:t>
            </w:r>
          </w:p>
        </w:tc>
      </w:tr>
      <w:tr>
        <w:tc>
          <w:tcPr>
            <w:tcW w:type="dxa" w:w="2200"/>
            <w:vAlign w:val="center"/>
          </w:tcPr>
          <w:p>
            <w:pPr>
              <w:spacing w:line="260" w:lineRule="auto"/>
            </w:pPr>
            <w:r>
              <w:rPr>
                <w:b/>
                <w:bCs/>
                <w:sz w:val="20"/>
                <w:szCs w:val="20"/>
              </w:rPr>
              <w:t xml:space="preserve">Lenguaje Core</w:t>
            </w:r>
          </w:p>
        </w:tc>
        <w:tc>
          <w:tcPr>
            <w:tcW w:type="dxa" w:w="2200"/>
            <w:vAlign w:val="center"/>
          </w:tcPr>
          <w:p>
            <w:pPr>
              <w:spacing w:line="260" w:lineRule="auto"/>
            </w:pPr>
            <w:r>
              <w:rPr>
                <w:b/>
                <w:bCs/>
                <w:sz w:val="20"/>
                <w:szCs w:val="20"/>
              </w:rPr>
              <w:t xml:space="preserve">Python</w:t>
            </w:r>
          </w:p>
        </w:tc>
        <w:tc>
          <w:tcPr>
            <w:tcW w:type="dxa" w:w="4900"/>
            <w:vAlign w:val="center"/>
          </w:tcPr>
          <w:p>
            <w:pPr>
              <w:spacing w:line="260" w:lineRule="auto"/>
            </w:pPr>
            <w:r>
              <w:rPr>
                <w:sz w:val="20"/>
                <w:szCs w:val="20"/>
              </w:rPr>
              <w:t xml:space="preserve">Alta eficiencia matemática y ecosistema maduro para análisis de datos.</w:t>
            </w:r>
          </w:p>
        </w:tc>
      </w:tr>
      <w:tr>
        <w:tc>
          <w:tcPr>
            <w:tcW w:type="dxa" w:w="2200"/>
            <w:vAlign w:val="center"/>
          </w:tcPr>
          <w:p>
            <w:pPr>
              <w:spacing w:line="260" w:lineRule="auto"/>
            </w:pPr>
            <w:r>
              <w:rPr>
                <w:b/>
                <w:bCs/>
                <w:sz w:val="20"/>
                <w:szCs w:val="20"/>
              </w:rPr>
              <w:t xml:space="preserve">Frontend / UI</w:t>
            </w:r>
          </w:p>
        </w:tc>
        <w:tc>
          <w:tcPr>
            <w:tcW w:type="dxa" w:w="2200"/>
            <w:vAlign w:val="center"/>
          </w:tcPr>
          <w:p>
            <w:pPr>
              <w:spacing w:line="260" w:lineRule="auto"/>
            </w:pPr>
            <w:r>
              <w:rPr>
                <w:b/>
                <w:bCs/>
                <w:sz w:val="20"/>
                <w:szCs w:val="20"/>
              </w:rPr>
              <w:t xml:space="preserve">Streamlit</w:t>
            </w:r>
          </w:p>
        </w:tc>
        <w:tc>
          <w:tcPr>
            <w:tcW w:type="dxa" w:w="4900"/>
            <w:vAlign w:val="center"/>
          </w:tcPr>
          <w:p>
            <w:pPr>
              <w:spacing w:line="260" w:lineRule="auto"/>
            </w:pPr>
            <w:r>
              <w:rPr>
                <w:sz w:val="20"/>
                <w:szCs w:val="20"/>
              </w:rPr>
              <w:t xml:space="preserve">Permite maquetar aplicaciones web interactivas y visualizaciones directamente desde el código backend.</w:t>
            </w:r>
          </w:p>
        </w:tc>
      </w:tr>
      <w:tr>
        <w:tc>
          <w:tcPr>
            <w:tcW w:type="dxa" w:w="2200"/>
            <w:vAlign w:val="center"/>
          </w:tcPr>
          <w:p>
            <w:pPr>
              <w:spacing w:line="260" w:lineRule="auto"/>
            </w:pPr>
            <w:r>
              <w:rPr>
                <w:b/>
                <w:bCs/>
                <w:sz w:val="20"/>
                <w:szCs w:val="20"/>
              </w:rPr>
              <w:t xml:space="preserve">Despliegue (Deploy)</w:t>
            </w:r>
          </w:p>
        </w:tc>
        <w:tc>
          <w:tcPr>
            <w:tcW w:type="dxa" w:w="2200"/>
            <w:vAlign w:val="center"/>
          </w:tcPr>
          <w:p>
            <w:pPr>
              <w:spacing w:line="260" w:lineRule="auto"/>
            </w:pPr>
            <w:r>
              <w:rPr>
                <w:b/>
                <w:bCs/>
                <w:sz w:val="20"/>
                <w:szCs w:val="20"/>
              </w:rPr>
              <w:t xml:space="preserve">Netlify</w:t>
            </w:r>
          </w:p>
        </w:tc>
        <w:tc>
          <w:tcPr>
            <w:tcW w:type="dxa" w:w="4900"/>
            <w:vAlign w:val="center"/>
          </w:tcPr>
          <w:p>
            <w:pPr>
              <w:spacing w:line="260" w:lineRule="auto"/>
            </w:pPr>
            <w:r>
              <w:rPr>
                <w:sz w:val="20"/>
                <w:szCs w:val="20"/>
              </w:rPr>
              <w:t xml:space="preserve">Plataforma ágil y moderna para el despliegue continuo de aplicaciones web, garantizando una URL pública rápida y estable.</w:t>
            </w:r>
          </w:p>
        </w:tc>
      </w:tr>
      <w:tr>
        <w:tc>
          <w:tcPr>
            <w:tcW w:type="dxa" w:w="2200"/>
            <w:vAlign w:val="center"/>
          </w:tcPr>
          <w:p>
            <w:pPr>
              <w:spacing w:line="260" w:lineRule="auto"/>
            </w:pPr>
            <w:r>
              <w:rPr>
                <w:b/>
                <w:bCs/>
                <w:sz w:val="20"/>
                <w:szCs w:val="20"/>
              </w:rPr>
              <w:t xml:space="preserve">Base de Datos</w:t>
            </w:r>
          </w:p>
        </w:tc>
        <w:tc>
          <w:tcPr>
            <w:tcW w:type="dxa" w:w="2200"/>
            <w:vAlign w:val="center"/>
          </w:tcPr>
          <w:p>
            <w:pPr>
              <w:spacing w:line="260" w:lineRule="auto"/>
            </w:pPr>
            <w:r>
              <w:rPr>
                <w:b/>
                <w:bCs/>
                <w:sz w:val="20"/>
                <w:szCs w:val="20"/>
              </w:rPr>
              <w:t xml:space="preserve">SQLite</w:t>
            </w:r>
          </w:p>
        </w:tc>
        <w:tc>
          <w:tcPr>
            <w:tcW w:type="dxa" w:w="4900"/>
            <w:vAlign w:val="center"/>
          </w:tcPr>
          <w:p>
            <w:pPr>
              <w:spacing w:line="260" w:lineRule="auto"/>
            </w:pPr>
            <w:r>
              <w:rPr>
                <w:sz w:val="20"/>
                <w:szCs w:val="20"/>
              </w:rPr>
              <w:t xml:space="preserve">Estructura relacional ligera que no requiere servidor dedicado, ideal para iniciar y fácil de migrar.</w:t>
            </w:r>
          </w:p>
        </w:tc>
      </w:tr>
      <w:tr>
        <w:tc>
          <w:tcPr>
            <w:tcW w:type="dxa" w:w="2200"/>
            <w:vAlign w:val="center"/>
          </w:tcPr>
          <w:p>
            <w:pPr>
              <w:spacing w:line="260" w:lineRule="auto"/>
            </w:pPr>
            <w:r>
              <w:rPr>
                <w:b/>
                <w:bCs/>
                <w:sz w:val="20"/>
                <w:szCs w:val="20"/>
              </w:rPr>
              <w:t xml:space="preserve">Geolocalización</w:t>
            </w:r>
          </w:p>
        </w:tc>
        <w:tc>
          <w:tcPr>
            <w:tcW w:type="dxa" w:w="2200"/>
            <w:vAlign w:val="center"/>
          </w:tcPr>
          <w:p>
            <w:pPr>
              <w:spacing w:line="260" w:lineRule="auto"/>
            </w:pPr>
            <w:r>
              <w:rPr>
                <w:b/>
                <w:bCs/>
                <w:sz w:val="20"/>
                <w:szCs w:val="20"/>
              </w:rPr>
              <w:t xml:space="preserve">Google Maps API</w:t>
            </w:r>
          </w:p>
        </w:tc>
        <w:tc>
          <w:tcPr>
            <w:tcW w:type="dxa" w:w="4900"/>
            <w:vAlign w:val="center"/>
          </w:tcPr>
          <w:p>
            <w:pPr>
              <w:spacing w:line="260" w:lineRule="auto"/>
            </w:pPr>
            <w:r>
              <w:rPr>
                <w:sz w:val="20"/>
                <w:szCs w:val="20"/>
              </w:rPr>
              <w:t xml:space="preserve">Precisión exacta en el cálculo de rutas terrestres comerciales para la asignación de fletes logísticos.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2026-09-02T22:33:11.579Z</dcterms:created>
  <dcterms:modified xsi:type="dcterms:W3CDTF">2026-09-02T22:33:11.590Z</dcterms:modified>
</cp:coreProperties>
</file>

<file path=docProps/custom.xml><?xml version="1.0" encoding="utf-8"?>
<Properties xmlns="http://schemas.openxmlformats.org/officeDocument/2006/custom-properties" xmlns:vt="http://schemas.openxmlformats.org/officeDocument/2006/docPropsVTypes"/>
</file>