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56572" w14:textId="39F060D4" w:rsidR="00254E94" w:rsidRPr="005A1753" w:rsidRDefault="00AC6BEF">
      <w:pPr>
        <w:rPr>
          <w:rFonts w:asciiTheme="majorHAnsi" w:hAnsiTheme="majorHAnsi" w:cstheme="majorHAnsi"/>
          <w:b/>
          <w:bCs/>
          <w:sz w:val="48"/>
          <w:szCs w:val="48"/>
        </w:rPr>
      </w:pPr>
      <w:r w:rsidRPr="005A1753">
        <w:rPr>
          <w:rFonts w:asciiTheme="majorHAnsi" w:hAnsiTheme="majorHAnsi" w:cstheme="majorHAnsi"/>
          <w:b/>
          <w:bCs/>
          <w:sz w:val="48"/>
          <w:szCs w:val="48"/>
        </w:rPr>
        <w:t>Ozone Detection</w:t>
      </w:r>
      <w:r w:rsidR="005A1753" w:rsidRPr="005A1753">
        <w:rPr>
          <w:rFonts w:asciiTheme="majorHAnsi" w:hAnsiTheme="majorHAnsi" w:cstheme="majorHAnsi"/>
          <w:b/>
          <w:bCs/>
          <w:sz w:val="48"/>
          <w:szCs w:val="48"/>
        </w:rPr>
        <w:t xml:space="preserve"> and Aerogel Particle Capture</w:t>
      </w:r>
    </w:p>
    <w:p w14:paraId="57E4687D" w14:textId="6574761A" w:rsidR="005A1753" w:rsidRPr="005A1753" w:rsidRDefault="005A1753">
      <w:pPr>
        <w:rPr>
          <w:rFonts w:asciiTheme="majorHAnsi" w:hAnsiTheme="majorHAnsi" w:cstheme="majorHAnsi"/>
          <w:sz w:val="40"/>
          <w:szCs w:val="40"/>
        </w:rPr>
      </w:pPr>
      <w:r w:rsidRPr="005A1753">
        <w:rPr>
          <w:rFonts w:asciiTheme="majorHAnsi" w:hAnsiTheme="majorHAnsi" w:cstheme="majorHAnsi"/>
          <w:sz w:val="40"/>
          <w:szCs w:val="40"/>
        </w:rPr>
        <w:t>Ozone Detection</w:t>
      </w:r>
    </w:p>
    <w:p w14:paraId="74C25629" w14:textId="215869ED" w:rsidR="00AC6BEF" w:rsidRDefault="00A044B1">
      <w:pPr>
        <w:rPr>
          <w:sz w:val="24"/>
          <w:szCs w:val="24"/>
        </w:rPr>
      </w:pPr>
      <w:r w:rsidRPr="00A044B1">
        <w:rPr>
          <w:sz w:val="24"/>
          <w:szCs w:val="24"/>
        </w:rPr>
        <w:t xml:space="preserve">An increase in the </w:t>
      </w:r>
      <w:r w:rsidR="0060425D" w:rsidRPr="00A044B1">
        <w:rPr>
          <w:sz w:val="24"/>
          <w:szCs w:val="24"/>
        </w:rPr>
        <w:t>number</w:t>
      </w:r>
      <w:r w:rsidRPr="00A044B1">
        <w:rPr>
          <w:sz w:val="24"/>
          <w:szCs w:val="24"/>
        </w:rPr>
        <w:t xml:space="preserve"> of factories and machines that emit greenhouse gases (GHGs) has caused the concentration of GHGs to rise steeply since the industrial era. These emissions create compounds that react with sunlight to form ozone, a GHG. Ozone not only traps heat in the atmosphere causing long-term global issues, but it also causes direct harm to both plants and animals. The damage that ozone causes to plants is due to plants taking the gas up through their stomata. Measuring ozone uptake has traditionally been a difficult and expensive process. This study proposes a novel approach towards measuring ozone uptake using a high-altitude balloon (HAB)</w:t>
      </w:r>
      <w:r>
        <w:rPr>
          <w:sz w:val="24"/>
          <w:szCs w:val="24"/>
        </w:rPr>
        <w:t>.</w:t>
      </w:r>
    </w:p>
    <w:p w14:paraId="28647563" w14:textId="77777777" w:rsidR="00E03418" w:rsidRPr="00A044B1" w:rsidRDefault="00E03418">
      <w:pPr>
        <w:rPr>
          <w:rFonts w:asciiTheme="majorHAnsi" w:hAnsiTheme="majorHAnsi" w:cstheme="majorHAnsi"/>
          <w:sz w:val="24"/>
          <w:szCs w:val="24"/>
        </w:rPr>
      </w:pPr>
    </w:p>
    <w:p w14:paraId="28D20CDE" w14:textId="3406577E" w:rsidR="00AC6BEF" w:rsidRDefault="00A044B1">
      <w:pPr>
        <w:rPr>
          <w:sz w:val="24"/>
          <w:szCs w:val="24"/>
        </w:rPr>
      </w:pPr>
      <w:r w:rsidRPr="00A044B1">
        <w:rPr>
          <w:sz w:val="24"/>
          <w:szCs w:val="24"/>
        </w:rPr>
        <w:t>The HAB is cheap, quick, and can document carbon dioxide exchanges with agricultural crops over large spatial areas, hence to can ne used in ozone detection.</w:t>
      </w:r>
    </w:p>
    <w:p w14:paraId="663029AF" w14:textId="6AF3E332" w:rsidR="00AC6BEF" w:rsidRPr="00A044B1" w:rsidRDefault="00A044B1" w:rsidP="00A044B1">
      <w:pPr>
        <w:pStyle w:val="ListParagraph"/>
        <w:numPr>
          <w:ilvl w:val="0"/>
          <w:numId w:val="3"/>
        </w:numPr>
        <w:rPr>
          <w:rFonts w:asciiTheme="majorHAnsi" w:hAnsiTheme="majorHAnsi" w:cstheme="majorHAnsi"/>
          <w:sz w:val="44"/>
          <w:szCs w:val="44"/>
        </w:rPr>
      </w:pPr>
      <w:r w:rsidRPr="00A044B1">
        <w:rPr>
          <w:sz w:val="24"/>
          <w:szCs w:val="24"/>
        </w:rPr>
        <w:t xml:space="preserve">This simplified version of the ozone formation process is shown below. </w:t>
      </w:r>
    </w:p>
    <w:p w14:paraId="295FDA2B" w14:textId="718A4451" w:rsidR="00A044B1" w:rsidRDefault="00A044B1" w:rsidP="00C17FE3">
      <w:pPr>
        <w:jc w:val="center"/>
        <w:rPr>
          <w:rFonts w:asciiTheme="majorHAnsi" w:hAnsiTheme="majorHAnsi" w:cstheme="majorHAnsi"/>
          <w:sz w:val="44"/>
          <w:szCs w:val="44"/>
        </w:rPr>
      </w:pPr>
      <w:r>
        <w:rPr>
          <w:noProof/>
        </w:rPr>
        <w:drawing>
          <wp:inline distT="0" distB="0" distL="0" distR="0" wp14:anchorId="48130F7F" wp14:editId="1D4DB8C1">
            <wp:extent cx="3848100" cy="8480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2821" cy="853489"/>
                    </a:xfrm>
                    <a:prstGeom prst="rect">
                      <a:avLst/>
                    </a:prstGeom>
                    <a:noFill/>
                    <a:ln>
                      <a:noFill/>
                    </a:ln>
                  </pic:spPr>
                </pic:pic>
              </a:graphicData>
            </a:graphic>
          </wp:inline>
        </w:drawing>
      </w:r>
    </w:p>
    <w:p w14:paraId="2A479F05" w14:textId="2785B6AB" w:rsidR="00C17FE3" w:rsidRPr="0060425D" w:rsidRDefault="0060425D" w:rsidP="0060425D">
      <w:pPr>
        <w:pStyle w:val="ListParagraph"/>
        <w:numPr>
          <w:ilvl w:val="0"/>
          <w:numId w:val="6"/>
        </w:numPr>
        <w:rPr>
          <w:rFonts w:asciiTheme="majorHAnsi" w:hAnsiTheme="majorHAnsi" w:cstheme="majorHAnsi"/>
          <w:sz w:val="24"/>
          <w:szCs w:val="24"/>
        </w:rPr>
      </w:pPr>
      <w:r w:rsidRPr="0060425D">
        <w:rPr>
          <w:sz w:val="24"/>
          <w:szCs w:val="24"/>
        </w:rPr>
        <w:t>Because 97 percent of the ozone molecules are located in the stratosphere with a maximum concentration at 26,000 meters above sea level, existing analysis methods are extremely expensive, time consuming, and inadequate. Moreover, atmospheric scientists are concerned with the possible further destruction of the ozone concentration due to the chemical contaminates released from presently existing ozone monitoring vehicles</w:t>
      </w:r>
    </w:p>
    <w:p w14:paraId="21F961C1" w14:textId="77777777" w:rsidR="0060425D" w:rsidRPr="00C17FE3" w:rsidRDefault="0060425D" w:rsidP="00C17FE3">
      <w:pPr>
        <w:pStyle w:val="ListParagraph"/>
        <w:rPr>
          <w:rFonts w:asciiTheme="majorHAnsi" w:hAnsiTheme="majorHAnsi" w:cstheme="majorHAnsi"/>
          <w:sz w:val="24"/>
          <w:szCs w:val="24"/>
        </w:rPr>
      </w:pPr>
    </w:p>
    <w:p w14:paraId="080549A4" w14:textId="016DB38C" w:rsidR="00C17FE3" w:rsidRPr="0060425D" w:rsidRDefault="00C17FE3" w:rsidP="00C17FE3">
      <w:pPr>
        <w:pStyle w:val="ListParagraph"/>
        <w:numPr>
          <w:ilvl w:val="0"/>
          <w:numId w:val="3"/>
        </w:numPr>
        <w:rPr>
          <w:rFonts w:asciiTheme="majorHAnsi" w:hAnsiTheme="majorHAnsi" w:cstheme="majorHAnsi"/>
          <w:sz w:val="24"/>
          <w:szCs w:val="24"/>
        </w:rPr>
      </w:pPr>
      <w:r w:rsidRPr="00C17FE3">
        <w:rPr>
          <w:sz w:val="24"/>
          <w:szCs w:val="24"/>
        </w:rPr>
        <w:t xml:space="preserve">The methods of this experiment </w:t>
      </w:r>
      <w:r>
        <w:rPr>
          <w:sz w:val="24"/>
          <w:szCs w:val="24"/>
        </w:rPr>
        <w:t xml:space="preserve">may </w:t>
      </w:r>
      <w:r w:rsidRPr="00C17FE3">
        <w:rPr>
          <w:sz w:val="24"/>
          <w:szCs w:val="24"/>
        </w:rPr>
        <w:t>involve launching a HAB carrying an ozone monitor and using the measured ozone concentrations to calculate ozone exchange values for each launch day.</w:t>
      </w:r>
    </w:p>
    <w:p w14:paraId="78B32954" w14:textId="77777777" w:rsidR="0060425D" w:rsidRPr="0060425D" w:rsidRDefault="0060425D" w:rsidP="0060425D">
      <w:pPr>
        <w:pStyle w:val="ListParagraph"/>
        <w:rPr>
          <w:rFonts w:asciiTheme="majorHAnsi" w:hAnsiTheme="majorHAnsi" w:cstheme="majorHAnsi"/>
          <w:sz w:val="24"/>
          <w:szCs w:val="24"/>
        </w:rPr>
      </w:pPr>
    </w:p>
    <w:p w14:paraId="688DA61F" w14:textId="721075C3" w:rsidR="0060425D" w:rsidRPr="0060425D" w:rsidRDefault="0060425D" w:rsidP="00C17FE3">
      <w:pPr>
        <w:pStyle w:val="ListParagraph"/>
        <w:numPr>
          <w:ilvl w:val="0"/>
          <w:numId w:val="3"/>
        </w:numPr>
        <w:rPr>
          <w:rFonts w:asciiTheme="majorHAnsi" w:hAnsiTheme="majorHAnsi" w:cstheme="majorHAnsi"/>
          <w:sz w:val="24"/>
          <w:szCs w:val="24"/>
        </w:rPr>
      </w:pPr>
      <w:r w:rsidRPr="00AC6BEF">
        <w:rPr>
          <w:rFonts w:cstheme="minorHAnsi"/>
          <w:color w:val="333333"/>
          <w:sz w:val="24"/>
          <w:szCs w:val="24"/>
          <w:shd w:val="clear" w:color="auto" w:fill="FFFFFF"/>
        </w:rPr>
        <w:t>Ozonesondes are a collection of instruments contained in a small Styrofoam container, which measures ozone, temperature, relative humidity, pressure, and</w:t>
      </w:r>
      <w:r>
        <w:rPr>
          <w:rFonts w:cstheme="minorHAnsi"/>
          <w:color w:val="333333"/>
          <w:sz w:val="24"/>
          <w:szCs w:val="24"/>
          <w:shd w:val="clear" w:color="auto" w:fill="FFFFFF"/>
        </w:rPr>
        <w:t xml:space="preserve"> </w:t>
      </w:r>
      <w:r w:rsidRPr="00C17FE3">
        <w:rPr>
          <w:rFonts w:cstheme="minorHAnsi"/>
          <w:color w:val="333333"/>
          <w:sz w:val="24"/>
          <w:szCs w:val="24"/>
          <w:shd w:val="clear" w:color="auto" w:fill="FFFFFF"/>
        </w:rPr>
        <w:t>wind speed and direction from the surface to a height of 10 kilometres (6.2 miles) or higher.</w:t>
      </w:r>
    </w:p>
    <w:p w14:paraId="3A1A5881" w14:textId="77777777" w:rsidR="0060425D" w:rsidRPr="0060425D" w:rsidRDefault="0060425D" w:rsidP="0060425D">
      <w:pPr>
        <w:pStyle w:val="ListParagraph"/>
        <w:rPr>
          <w:rFonts w:asciiTheme="majorHAnsi" w:hAnsiTheme="majorHAnsi" w:cstheme="majorHAnsi"/>
          <w:sz w:val="24"/>
          <w:szCs w:val="24"/>
        </w:rPr>
      </w:pPr>
    </w:p>
    <w:p w14:paraId="2ACA976B" w14:textId="560F6E9F" w:rsidR="00AC6BEF" w:rsidRDefault="00AC6BEF">
      <w:pPr>
        <w:rPr>
          <w:rFonts w:asciiTheme="majorHAnsi" w:hAnsiTheme="majorHAnsi" w:cstheme="majorHAnsi"/>
          <w:sz w:val="44"/>
          <w:szCs w:val="44"/>
        </w:rPr>
      </w:pPr>
    </w:p>
    <w:p w14:paraId="177EADD7" w14:textId="30F8178E" w:rsidR="00AC6BEF" w:rsidRDefault="00E03418" w:rsidP="00E03418">
      <w:pPr>
        <w:jc w:val="center"/>
        <w:rPr>
          <w:rFonts w:asciiTheme="majorHAnsi" w:hAnsiTheme="majorHAnsi" w:cstheme="majorHAnsi"/>
          <w:sz w:val="44"/>
          <w:szCs w:val="44"/>
        </w:rPr>
      </w:pPr>
      <w:r>
        <w:rPr>
          <w:noProof/>
        </w:rPr>
        <w:lastRenderedPageBreak/>
        <w:drawing>
          <wp:inline distT="0" distB="0" distL="0" distR="0" wp14:anchorId="4A8FB819" wp14:editId="3AE7062F">
            <wp:extent cx="2743200" cy="4876800"/>
            <wp:effectExtent l="0" t="0" r="0" b="0"/>
            <wp:docPr id="3" name="Picture 3" descr="The Ozone 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zone H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876800"/>
                    </a:xfrm>
                    <a:prstGeom prst="rect">
                      <a:avLst/>
                    </a:prstGeom>
                    <a:noFill/>
                    <a:ln>
                      <a:noFill/>
                    </a:ln>
                  </pic:spPr>
                </pic:pic>
              </a:graphicData>
            </a:graphic>
          </wp:inline>
        </w:drawing>
      </w:r>
    </w:p>
    <w:p w14:paraId="3C163E51" w14:textId="3C618AC2" w:rsidR="00662E57" w:rsidRDefault="005A1753">
      <w:pPr>
        <w:rPr>
          <w:rFonts w:asciiTheme="majorHAnsi" w:hAnsiTheme="majorHAnsi" w:cstheme="majorHAnsi"/>
          <w:sz w:val="40"/>
          <w:szCs w:val="40"/>
        </w:rPr>
      </w:pPr>
      <w:r w:rsidRPr="005A1753">
        <w:rPr>
          <w:rFonts w:asciiTheme="majorHAnsi" w:hAnsiTheme="majorHAnsi" w:cstheme="majorHAnsi"/>
          <w:sz w:val="40"/>
          <w:szCs w:val="40"/>
        </w:rPr>
        <w:t>Aerogel Particle Capture</w:t>
      </w:r>
    </w:p>
    <w:p w14:paraId="138B2E55" w14:textId="5D7D4034" w:rsidR="00662E57" w:rsidRDefault="005A1753">
      <w:pPr>
        <w:rPr>
          <w:rFonts w:cstheme="minorHAnsi"/>
          <w:color w:val="000000"/>
          <w:sz w:val="24"/>
          <w:szCs w:val="24"/>
          <w:shd w:val="clear" w:color="auto" w:fill="FFFFFF"/>
        </w:rPr>
      </w:pPr>
      <w:r>
        <w:rPr>
          <w:rFonts w:cstheme="minorHAnsi"/>
          <w:color w:val="000000"/>
          <w:sz w:val="24"/>
          <w:szCs w:val="24"/>
          <w:shd w:val="clear" w:color="auto" w:fill="FFFFFF"/>
        </w:rPr>
        <w:t>In order t</w:t>
      </w:r>
      <w:r w:rsidRPr="005A1753">
        <w:rPr>
          <w:rFonts w:cstheme="minorHAnsi"/>
          <w:color w:val="000000"/>
          <w:sz w:val="24"/>
          <w:szCs w:val="24"/>
          <w:shd w:val="clear" w:color="auto" w:fill="FFFFFF"/>
        </w:rPr>
        <w:t>o collect particles without damaging them,</w:t>
      </w:r>
      <w:r>
        <w:rPr>
          <w:rFonts w:cstheme="minorHAnsi"/>
          <w:color w:val="000000"/>
          <w:sz w:val="24"/>
          <w:szCs w:val="24"/>
          <w:shd w:val="clear" w:color="auto" w:fill="FFFFFF"/>
        </w:rPr>
        <w:t xml:space="preserve"> one can use</w:t>
      </w:r>
      <w:r w:rsidRPr="005A1753">
        <w:rPr>
          <w:rFonts w:cstheme="minorHAnsi"/>
          <w:color w:val="000000"/>
          <w:sz w:val="24"/>
          <w:szCs w:val="24"/>
          <w:shd w:val="clear" w:color="auto" w:fill="FFFFFF"/>
        </w:rPr>
        <w:t xml:space="preserve"> an extraordinary substance called </w:t>
      </w:r>
      <w:r>
        <w:rPr>
          <w:rFonts w:cstheme="minorHAnsi"/>
          <w:color w:val="000000"/>
          <w:sz w:val="24"/>
          <w:szCs w:val="24"/>
          <w:shd w:val="clear" w:color="auto" w:fill="FFFFFF"/>
        </w:rPr>
        <w:t>‘</w:t>
      </w:r>
      <w:r w:rsidRPr="005A1753">
        <w:rPr>
          <w:rFonts w:cstheme="minorHAnsi"/>
          <w:color w:val="000000"/>
          <w:sz w:val="24"/>
          <w:szCs w:val="24"/>
          <w:shd w:val="clear" w:color="auto" w:fill="FFFFFF"/>
        </w:rPr>
        <w:t>aerogel</w:t>
      </w:r>
      <w:r>
        <w:rPr>
          <w:rFonts w:cstheme="minorHAnsi"/>
          <w:color w:val="000000"/>
          <w:sz w:val="24"/>
          <w:szCs w:val="24"/>
          <w:shd w:val="clear" w:color="auto" w:fill="FFFFFF"/>
        </w:rPr>
        <w:t>’</w:t>
      </w:r>
      <w:r w:rsidRPr="005A1753">
        <w:rPr>
          <w:rFonts w:cstheme="minorHAnsi"/>
          <w:color w:val="000000"/>
          <w:sz w:val="24"/>
          <w:szCs w:val="24"/>
          <w:shd w:val="clear" w:color="auto" w:fill="FFFFFF"/>
        </w:rPr>
        <w:t>. This is a silicon-based solid with a porous, sponge-like structure in which 99.8 percent of the volume is empty space. By comparison, aerogel is 1,000 times less dense than glass, which is another silicon-based solid. When a particle hits the aerogel, it buries itself in the material, creating a carrot-shaped track up to 200 times its own length. This slows it down and brings the sample to a relatively gradual stop. Since aerogel is mostly transparent - with a distinctive smoky blue cast - scientists will use these tracks to find the tiny particles.</w:t>
      </w:r>
    </w:p>
    <w:p w14:paraId="70C3FEF7" w14:textId="212E7BF1" w:rsidR="005A1753" w:rsidRDefault="005A1753">
      <w:pPr>
        <w:rPr>
          <w:rFonts w:ascii="Verdana" w:hAnsi="Verdana"/>
          <w:color w:val="000000"/>
          <w:sz w:val="18"/>
          <w:szCs w:val="18"/>
          <w:shd w:val="clear" w:color="auto" w:fill="FFFFFF"/>
        </w:rPr>
      </w:pPr>
      <w:r w:rsidRPr="005A1753">
        <w:rPr>
          <w:rFonts w:cstheme="minorHAnsi"/>
          <w:color w:val="000000"/>
          <w:sz w:val="24"/>
          <w:szCs w:val="24"/>
          <w:shd w:val="clear" w:color="auto" w:fill="FFFFFF"/>
        </w:rPr>
        <w:t>Aerogel is not like conventional foams, but is a special porous material with extreme micro porosity on a micron scale. It is composed of individual features only a few nanometres in size. These are linked in a highly porous dendritic-like structure</w:t>
      </w:r>
      <w:r>
        <w:rPr>
          <w:rFonts w:ascii="Verdana" w:hAnsi="Verdana"/>
          <w:color w:val="000000"/>
          <w:sz w:val="18"/>
          <w:szCs w:val="18"/>
          <w:shd w:val="clear" w:color="auto" w:fill="FFFFFF"/>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BB6004" w:rsidRPr="00BB6004" w14:paraId="437E0045" w14:textId="77777777" w:rsidTr="00BB6004">
        <w:trPr>
          <w:tblCellSpacing w:w="0" w:type="dxa"/>
        </w:trPr>
        <w:tc>
          <w:tcPr>
            <w:tcW w:w="0" w:type="auto"/>
            <w:shd w:val="clear" w:color="auto" w:fill="FFFFFF"/>
            <w:hideMark/>
          </w:tcPr>
          <w:p w14:paraId="1E31D0D7" w14:textId="323766EC" w:rsidR="00EF45C4" w:rsidRPr="00EF45C4" w:rsidRDefault="00EF45C4" w:rsidP="00662E57">
            <w:pPr>
              <w:pStyle w:val="ListParagraph"/>
              <w:numPr>
                <w:ilvl w:val="0"/>
                <w:numId w:val="7"/>
              </w:numPr>
              <w:spacing w:before="100" w:beforeAutospacing="1" w:after="100" w:afterAutospacing="1" w:line="240" w:lineRule="auto"/>
              <w:rPr>
                <w:rFonts w:eastAsia="Times New Roman" w:cstheme="minorHAnsi"/>
                <w:color w:val="000000"/>
                <w:sz w:val="24"/>
                <w:szCs w:val="24"/>
                <w:lang w:eastAsia="en-IN"/>
              </w:rPr>
            </w:pPr>
            <w:r w:rsidRPr="00EF45C4">
              <w:rPr>
                <w:rFonts w:cstheme="minorHAnsi"/>
                <w:color w:val="000000"/>
                <w:sz w:val="24"/>
                <w:szCs w:val="24"/>
              </w:rPr>
              <w:t>T</w:t>
            </w:r>
            <w:r w:rsidRPr="00EF45C4">
              <w:rPr>
                <w:rFonts w:cstheme="minorHAnsi"/>
                <w:color w:val="000000"/>
                <w:sz w:val="24"/>
                <w:szCs w:val="24"/>
              </w:rPr>
              <w:t xml:space="preserve">he most notable application of silica aerogel in astronautics is to capture </w:t>
            </w:r>
            <w:r w:rsidRPr="00EF45C4">
              <w:rPr>
                <w:rFonts w:cstheme="minorHAnsi"/>
                <w:color w:val="000000"/>
                <w:sz w:val="24"/>
                <w:szCs w:val="24"/>
              </w:rPr>
              <w:t>extra-terrestrial</w:t>
            </w:r>
            <w:r w:rsidRPr="00EF45C4">
              <w:rPr>
                <w:rFonts w:cstheme="minorHAnsi"/>
                <w:color w:val="000000"/>
                <w:sz w:val="24"/>
                <w:szCs w:val="24"/>
              </w:rPr>
              <w:t xml:space="preserve"> materials. This is primarily because it does not constitute elements of great cosmochemical significance as well as inorganic contaminants and secondly owing to its grandiosity in trapping particles with high velocities.</w:t>
            </w:r>
          </w:p>
          <w:p w14:paraId="0C44F330" w14:textId="3C8D9249" w:rsidR="00662E57" w:rsidRDefault="00BB6004" w:rsidP="00662E57">
            <w:pPr>
              <w:pStyle w:val="ListParagraph"/>
              <w:numPr>
                <w:ilvl w:val="0"/>
                <w:numId w:val="7"/>
              </w:numPr>
              <w:spacing w:before="100" w:beforeAutospacing="1" w:after="100" w:afterAutospacing="1" w:line="240" w:lineRule="auto"/>
              <w:rPr>
                <w:rFonts w:eastAsia="Times New Roman" w:cstheme="minorHAnsi"/>
                <w:color w:val="000000"/>
                <w:sz w:val="24"/>
                <w:szCs w:val="24"/>
                <w:lang w:eastAsia="en-IN"/>
              </w:rPr>
            </w:pPr>
            <w:r w:rsidRPr="00662E57">
              <w:rPr>
                <w:rFonts w:eastAsia="Times New Roman" w:cstheme="minorHAnsi"/>
                <w:color w:val="000000"/>
                <w:sz w:val="24"/>
                <w:szCs w:val="24"/>
                <w:lang w:eastAsia="en-IN"/>
              </w:rPr>
              <w:lastRenderedPageBreak/>
              <w:t xml:space="preserve">This exotic substance has many unusual properties, such as low thermal conductivity, refractive index and sound speed - in addition to its exceptional ability to capture fast moving dust. </w:t>
            </w:r>
          </w:p>
          <w:p w14:paraId="1DA0F905" w14:textId="7EDD564E" w:rsidR="00BB6004" w:rsidRPr="00662E57" w:rsidRDefault="00BB6004" w:rsidP="00662E57">
            <w:pPr>
              <w:pStyle w:val="ListParagraph"/>
              <w:numPr>
                <w:ilvl w:val="0"/>
                <w:numId w:val="7"/>
              </w:numPr>
              <w:spacing w:before="100" w:beforeAutospacing="1" w:after="100" w:afterAutospacing="1" w:line="240" w:lineRule="auto"/>
              <w:rPr>
                <w:rFonts w:eastAsia="Times New Roman" w:cstheme="minorHAnsi"/>
                <w:color w:val="000000"/>
                <w:sz w:val="24"/>
                <w:szCs w:val="24"/>
                <w:lang w:eastAsia="en-IN"/>
              </w:rPr>
            </w:pPr>
            <w:r w:rsidRPr="00662E57">
              <w:rPr>
                <w:rFonts w:eastAsia="Times New Roman" w:cstheme="minorHAnsi"/>
                <w:color w:val="000000"/>
                <w:sz w:val="24"/>
                <w:szCs w:val="24"/>
                <w:lang w:eastAsia="en-IN"/>
              </w:rPr>
              <w:t xml:space="preserve">Aerogel is made by high temperature and pressure-critical-point drying of a gel composed of colloidal silica structural units filled with solvents. </w:t>
            </w:r>
          </w:p>
        </w:tc>
      </w:tr>
    </w:tbl>
    <w:p w14:paraId="53DD2D88" w14:textId="77777777" w:rsidR="00BB6004" w:rsidRPr="00BB6004" w:rsidRDefault="00BB6004" w:rsidP="00BB6004">
      <w:pPr>
        <w:spacing w:after="0" w:line="240" w:lineRule="auto"/>
        <w:rPr>
          <w:rFonts w:ascii="Times New Roman" w:eastAsia="Times New Roman" w:hAnsi="Times New Roman" w:cs="Times New Roman"/>
          <w:vanish/>
          <w:sz w:val="24"/>
          <w:szCs w:val="24"/>
          <w:lang w:eastAsia="en-I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BB6004" w:rsidRPr="00BB6004" w14:paraId="1E529DF4" w14:textId="77777777" w:rsidTr="00BB6004">
        <w:trPr>
          <w:trHeight w:val="300"/>
          <w:tblCellSpacing w:w="0" w:type="dxa"/>
        </w:trPr>
        <w:tc>
          <w:tcPr>
            <w:tcW w:w="0" w:type="auto"/>
            <w:shd w:val="clear" w:color="auto" w:fill="FFFFFF"/>
            <w:vAlign w:val="bottom"/>
            <w:hideMark/>
          </w:tcPr>
          <w:p w14:paraId="26D6E648" w14:textId="11E46E11" w:rsidR="00E94054" w:rsidRPr="00BA3CCC" w:rsidRDefault="00BA3CCC" w:rsidP="00BB6004">
            <w:pPr>
              <w:spacing w:after="0" w:line="240" w:lineRule="auto"/>
              <w:rPr>
                <w:rFonts w:eastAsia="Times New Roman" w:cstheme="minorHAnsi"/>
                <w:color w:val="000000"/>
                <w:sz w:val="24"/>
                <w:szCs w:val="24"/>
                <w:lang w:eastAsia="en-IN"/>
              </w:rPr>
            </w:pPr>
            <w:r w:rsidRPr="00BA3CCC">
              <w:rPr>
                <w:rFonts w:cstheme="minorHAnsi"/>
                <w:color w:val="000000"/>
                <w:sz w:val="24"/>
                <w:szCs w:val="24"/>
              </w:rPr>
              <w:t>The most successful aerogel-related mission that has unveiled many scientific discoveries is probably the Stardust Mission. Launched from the Kennedy Space Center in 1999, the function of the mission was to carry a hypervelocity particle collector which would meet up with a known outer solar system body (Comet 81P/Wild 2) to capture coma samples and interstellar dust to be brought on Earth for laboratory analysis</w:t>
            </w:r>
          </w:p>
          <w:tbl>
            <w:tblPr>
              <w:tblW w:w="10950" w:type="dxa"/>
              <w:tblCellSpacing w:w="0" w:type="dxa"/>
              <w:shd w:val="clear" w:color="auto" w:fill="FFFFFF"/>
              <w:tblCellMar>
                <w:left w:w="0" w:type="dxa"/>
                <w:right w:w="0" w:type="dxa"/>
              </w:tblCellMar>
              <w:tblLook w:val="04A0" w:firstRow="1" w:lastRow="0" w:firstColumn="1" w:lastColumn="0" w:noHBand="0" w:noVBand="1"/>
            </w:tblPr>
            <w:tblGrid>
              <w:gridCol w:w="10950"/>
            </w:tblGrid>
            <w:tr w:rsidR="00E94054" w:rsidRPr="00E94054" w14:paraId="7FC04E53" w14:textId="77777777" w:rsidTr="00E94054">
              <w:trPr>
                <w:tblCellSpacing w:w="0" w:type="dxa"/>
              </w:trPr>
              <w:tc>
                <w:tcPr>
                  <w:tcW w:w="8415" w:type="dxa"/>
                  <w:shd w:val="clear" w:color="auto" w:fill="FFFFFF"/>
                  <w:hideMark/>
                </w:tcPr>
                <w:p w14:paraId="3CF4834C" w14:textId="77777777" w:rsidR="00E94054" w:rsidRPr="00E94054" w:rsidRDefault="00E94054" w:rsidP="00E94054">
                  <w:pPr>
                    <w:spacing w:after="0" w:line="240" w:lineRule="auto"/>
                    <w:rPr>
                      <w:rFonts w:ascii="Arial" w:eastAsia="Times New Roman" w:hAnsi="Arial" w:cs="Arial"/>
                      <w:color w:val="000000"/>
                      <w:sz w:val="24"/>
                      <w:szCs w:val="24"/>
                      <w:lang w:eastAsia="en-IN"/>
                    </w:rPr>
                  </w:pPr>
                </w:p>
                <w:tbl>
                  <w:tblPr>
                    <w:tblW w:w="8415" w:type="dxa"/>
                    <w:tblCellSpacing w:w="0" w:type="dxa"/>
                    <w:tblCellMar>
                      <w:left w:w="0" w:type="dxa"/>
                      <w:right w:w="0" w:type="dxa"/>
                    </w:tblCellMar>
                    <w:tblLook w:val="04A0" w:firstRow="1" w:lastRow="0" w:firstColumn="1" w:lastColumn="0" w:noHBand="0" w:noVBand="1"/>
                  </w:tblPr>
                  <w:tblGrid>
                    <w:gridCol w:w="8415"/>
                  </w:tblGrid>
                  <w:tr w:rsidR="00E94054" w:rsidRPr="00E94054" w14:paraId="5028F761" w14:textId="77777777">
                    <w:trPr>
                      <w:tblCellSpacing w:w="0" w:type="dxa"/>
                    </w:trPr>
                    <w:tc>
                      <w:tcPr>
                        <w:tcW w:w="5850" w:type="dxa"/>
                        <w:hideMark/>
                      </w:tcPr>
                      <w:p w14:paraId="0B5DCE3C" w14:textId="1C8393FC" w:rsidR="00E94054" w:rsidRPr="00E94054" w:rsidRDefault="00E94054" w:rsidP="00E94054">
                        <w:pPr>
                          <w:spacing w:after="0" w:line="240" w:lineRule="auto"/>
                          <w:rPr>
                            <w:rFonts w:ascii="Arial" w:eastAsia="Times New Roman" w:hAnsi="Arial" w:cs="Arial"/>
                            <w:color w:val="000000"/>
                            <w:sz w:val="24"/>
                            <w:szCs w:val="24"/>
                            <w:lang w:eastAsia="en-IN"/>
                          </w:rPr>
                        </w:pPr>
                        <w:r w:rsidRPr="00E94054">
                          <w:rPr>
                            <w:rFonts w:ascii="Arial" w:eastAsia="Times New Roman" w:hAnsi="Arial" w:cs="Arial"/>
                            <w:noProof/>
                            <w:color w:val="0000FF"/>
                            <w:sz w:val="24"/>
                            <w:szCs w:val="24"/>
                            <w:lang w:eastAsia="en-IN"/>
                          </w:rPr>
                          <w:drawing>
                            <wp:inline distT="0" distB="0" distL="0" distR="0" wp14:anchorId="7ED0E955" wp14:editId="2F946A53">
                              <wp:extent cx="1809750" cy="2314575"/>
                              <wp:effectExtent l="0" t="0" r="0" b="9525"/>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231457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415"/>
                        </w:tblGrid>
                        <w:tr w:rsidR="00E94054" w:rsidRPr="00E94054" w14:paraId="0851ED3F" w14:textId="77777777" w:rsidTr="00E94054">
                          <w:trPr>
                            <w:trHeight w:val="300"/>
                            <w:tblCellSpacing w:w="0" w:type="dxa"/>
                          </w:trPr>
                          <w:tc>
                            <w:tcPr>
                              <w:tcW w:w="0" w:type="auto"/>
                              <w:shd w:val="clear" w:color="auto" w:fill="FFFFFF"/>
                              <w:vAlign w:val="bottom"/>
                              <w:hideMark/>
                            </w:tcPr>
                            <w:tbl>
                              <w:tblPr>
                                <w:tblpPr w:leftFromText="45" w:rightFromText="45" w:vertAnchor="text" w:tblpY="-384"/>
                                <w:tblOverlap w:val="never"/>
                                <w:tblW w:w="3074" w:type="dxa"/>
                                <w:tblCellSpacing w:w="0" w:type="dxa"/>
                                <w:tblCellMar>
                                  <w:left w:w="0" w:type="dxa"/>
                                  <w:right w:w="0" w:type="dxa"/>
                                </w:tblCellMar>
                                <w:tblLook w:val="04A0" w:firstRow="1" w:lastRow="0" w:firstColumn="1" w:lastColumn="0" w:noHBand="0" w:noVBand="1"/>
                              </w:tblPr>
                              <w:tblGrid>
                                <w:gridCol w:w="3007"/>
                                <w:gridCol w:w="67"/>
                              </w:tblGrid>
                              <w:tr w:rsidR="00E94054" w:rsidRPr="00E94054" w14:paraId="4E830FC7" w14:textId="77777777" w:rsidTr="00E94054">
                                <w:trPr>
                                  <w:trHeight w:val="173"/>
                                  <w:tblCellSpacing w:w="0" w:type="dxa"/>
                                </w:trPr>
                                <w:tc>
                                  <w:tcPr>
                                    <w:tcW w:w="3007" w:type="dxa"/>
                                    <w:hideMark/>
                                  </w:tcPr>
                                  <w:p w14:paraId="208F4055" w14:textId="77777777" w:rsidR="00E94054" w:rsidRPr="00E94054" w:rsidRDefault="00E94054" w:rsidP="00E94054">
                                    <w:pPr>
                                      <w:spacing w:after="0" w:line="240" w:lineRule="auto"/>
                                      <w:rPr>
                                        <w:rFonts w:ascii="Arial" w:eastAsia="Times New Roman" w:hAnsi="Arial" w:cs="Arial"/>
                                        <w:color w:val="000000"/>
                                        <w:sz w:val="24"/>
                                        <w:szCs w:val="24"/>
                                        <w:lang w:eastAsia="en-IN"/>
                                      </w:rPr>
                                    </w:pPr>
                                  </w:p>
                                </w:tc>
                                <w:tc>
                                  <w:tcPr>
                                    <w:tcW w:w="0" w:type="auto"/>
                                    <w:vAlign w:val="center"/>
                                    <w:hideMark/>
                                  </w:tcPr>
                                  <w:p w14:paraId="32A3BC7F" w14:textId="77777777" w:rsidR="00E94054" w:rsidRPr="00E94054" w:rsidRDefault="00E94054" w:rsidP="00E94054">
                                    <w:pPr>
                                      <w:spacing w:after="0" w:line="240" w:lineRule="auto"/>
                                      <w:rPr>
                                        <w:rFonts w:ascii="Arial" w:eastAsia="Times New Roman" w:hAnsi="Arial" w:cs="Arial"/>
                                        <w:color w:val="000000"/>
                                        <w:sz w:val="24"/>
                                        <w:szCs w:val="24"/>
                                        <w:lang w:eastAsia="en-IN"/>
                                      </w:rPr>
                                    </w:pPr>
                                    <w:r w:rsidRPr="00E94054">
                                      <w:rPr>
                                        <w:rFonts w:ascii="Arial" w:eastAsia="Times New Roman" w:hAnsi="Arial" w:cs="Arial"/>
                                        <w:color w:val="000000"/>
                                        <w:sz w:val="24"/>
                                        <w:szCs w:val="24"/>
                                        <w:lang w:eastAsia="en-IN"/>
                                      </w:rPr>
                                      <w:t> </w:t>
                                    </w:r>
                                  </w:p>
                                </w:tc>
                              </w:tr>
                              <w:tr w:rsidR="00E94054" w:rsidRPr="00E94054" w14:paraId="46942FC5" w14:textId="77777777" w:rsidTr="00E94054">
                                <w:trPr>
                                  <w:trHeight w:val="375"/>
                                  <w:tblCellSpacing w:w="0" w:type="dxa"/>
                                </w:trPr>
                                <w:tc>
                                  <w:tcPr>
                                    <w:tcW w:w="0" w:type="auto"/>
                                    <w:vAlign w:val="center"/>
                                    <w:hideMark/>
                                  </w:tcPr>
                                  <w:p w14:paraId="1501359D" w14:textId="77777777" w:rsidR="00E94054" w:rsidRPr="00E94054" w:rsidRDefault="00E94054" w:rsidP="00E94054">
                                    <w:pPr>
                                      <w:spacing w:before="100" w:beforeAutospacing="1" w:after="100" w:afterAutospacing="1" w:line="240" w:lineRule="auto"/>
                                      <w:rPr>
                                        <w:rFonts w:ascii="Verdana" w:eastAsia="Times New Roman" w:hAnsi="Verdana" w:cs="Arial"/>
                                        <w:color w:val="000000"/>
                                        <w:sz w:val="24"/>
                                        <w:szCs w:val="24"/>
                                        <w:lang w:eastAsia="en-IN"/>
                                      </w:rPr>
                                    </w:pPr>
                                    <w:r w:rsidRPr="00E94054">
                                      <w:rPr>
                                        <w:rFonts w:ascii="Verdana" w:eastAsia="Times New Roman" w:hAnsi="Verdana" w:cs="Arial"/>
                                        <w:color w:val="000000"/>
                                        <w:sz w:val="24"/>
                                        <w:szCs w:val="24"/>
                                        <w:lang w:eastAsia="en-IN"/>
                                      </w:rPr>
                                      <w:t>Particle captured in Aerogel</w:t>
                                    </w:r>
                                  </w:p>
                                </w:tc>
                                <w:tc>
                                  <w:tcPr>
                                    <w:tcW w:w="0" w:type="auto"/>
                                    <w:vAlign w:val="center"/>
                                    <w:hideMark/>
                                  </w:tcPr>
                                  <w:p w14:paraId="6A728639" w14:textId="77777777" w:rsidR="00E94054" w:rsidRPr="00E94054" w:rsidRDefault="00E94054" w:rsidP="00E94054">
                                    <w:pPr>
                                      <w:spacing w:after="0" w:line="240" w:lineRule="auto"/>
                                      <w:rPr>
                                        <w:rFonts w:ascii="Times New Roman" w:eastAsia="Times New Roman" w:hAnsi="Times New Roman" w:cs="Times New Roman"/>
                                        <w:sz w:val="24"/>
                                        <w:szCs w:val="24"/>
                                        <w:lang w:eastAsia="en-IN"/>
                                      </w:rPr>
                                    </w:pPr>
                                  </w:p>
                                </w:tc>
                              </w:tr>
                            </w:tbl>
                            <w:p w14:paraId="28BD7C2F" w14:textId="7F3D681D" w:rsidR="00E94054" w:rsidRPr="00E94054" w:rsidRDefault="00E94054" w:rsidP="00E94054">
                              <w:pPr>
                                <w:spacing w:after="0" w:line="240" w:lineRule="auto"/>
                                <w:rPr>
                                  <w:rFonts w:ascii="Arial" w:eastAsia="Times New Roman" w:hAnsi="Arial" w:cs="Arial"/>
                                  <w:color w:val="000000"/>
                                  <w:sz w:val="24"/>
                                  <w:szCs w:val="24"/>
                                  <w:lang w:eastAsia="en-IN"/>
                                </w:rPr>
                              </w:pPr>
                            </w:p>
                          </w:tc>
                        </w:tr>
                        <w:tr w:rsidR="00E94054" w:rsidRPr="00E94054" w14:paraId="122331F6" w14:textId="77777777" w:rsidTr="00E94054">
                          <w:trPr>
                            <w:tblCellSpacing w:w="0" w:type="dxa"/>
                          </w:trPr>
                          <w:tc>
                            <w:tcPr>
                              <w:tcW w:w="0" w:type="auto"/>
                              <w:shd w:val="clear" w:color="auto" w:fill="A42222"/>
                              <w:vAlign w:val="center"/>
                              <w:hideMark/>
                            </w:tcPr>
                            <w:p w14:paraId="4A073904" w14:textId="15C85FCB" w:rsidR="00E94054" w:rsidRPr="00E94054" w:rsidRDefault="00E94054" w:rsidP="00E94054">
                              <w:pPr>
                                <w:spacing w:after="0" w:line="240" w:lineRule="auto"/>
                                <w:rPr>
                                  <w:rFonts w:ascii="Arial" w:eastAsia="Times New Roman" w:hAnsi="Arial" w:cs="Arial"/>
                                  <w:color w:val="000000"/>
                                  <w:sz w:val="24"/>
                                  <w:szCs w:val="24"/>
                                  <w:lang w:eastAsia="en-IN"/>
                                </w:rPr>
                              </w:pPr>
                            </w:p>
                          </w:tc>
                        </w:tr>
                        <w:tr w:rsidR="00E94054" w:rsidRPr="00E94054" w14:paraId="209EEAA9" w14:textId="77777777" w:rsidTr="00E94054">
                          <w:trPr>
                            <w:tblCellSpacing w:w="0" w:type="dxa"/>
                          </w:trPr>
                          <w:tc>
                            <w:tcPr>
                              <w:tcW w:w="0" w:type="auto"/>
                              <w:vAlign w:val="center"/>
                              <w:hideMark/>
                            </w:tcPr>
                            <w:p w14:paraId="6B40663C" w14:textId="71D01280" w:rsidR="00E94054" w:rsidRPr="00E94054" w:rsidRDefault="00E94054" w:rsidP="00E94054">
                              <w:pPr>
                                <w:spacing w:after="0" w:line="240" w:lineRule="auto"/>
                                <w:rPr>
                                  <w:rFonts w:ascii="Arial" w:eastAsia="Times New Roman" w:hAnsi="Arial" w:cs="Arial"/>
                                  <w:color w:val="000000"/>
                                  <w:sz w:val="24"/>
                                  <w:szCs w:val="24"/>
                                  <w:lang w:eastAsia="en-IN"/>
                                </w:rPr>
                              </w:pPr>
                            </w:p>
                          </w:tc>
                        </w:tr>
                        <w:tr w:rsidR="00E94054" w:rsidRPr="00E94054" w14:paraId="6A916C95" w14:textId="77777777" w:rsidTr="00E94054">
                          <w:trPr>
                            <w:tblCellSpacing w:w="0" w:type="dxa"/>
                          </w:trPr>
                          <w:tc>
                            <w:tcPr>
                              <w:tcW w:w="0" w:type="auto"/>
                              <w:vAlign w:val="center"/>
                              <w:hideMark/>
                            </w:tcPr>
                            <w:p w14:paraId="0B9D0760" w14:textId="3C8C172E" w:rsidR="00E94054" w:rsidRPr="00E94054" w:rsidRDefault="00E94054" w:rsidP="00E94054">
                              <w:pPr>
                                <w:spacing w:after="0" w:line="240" w:lineRule="auto"/>
                                <w:rPr>
                                  <w:rFonts w:ascii="Verdana" w:eastAsia="Times New Roman" w:hAnsi="Verdana" w:cs="Arial"/>
                                  <w:color w:val="000000"/>
                                  <w:sz w:val="24"/>
                                  <w:szCs w:val="24"/>
                                  <w:lang w:eastAsia="en-IN"/>
                                </w:rPr>
                              </w:pPr>
                            </w:p>
                            <w:p w14:paraId="0CD53651" w14:textId="77777777" w:rsidR="00E94054" w:rsidRPr="00E94054" w:rsidRDefault="00E94054" w:rsidP="00E94054">
                              <w:pPr>
                                <w:spacing w:after="0" w:line="240" w:lineRule="auto"/>
                                <w:rPr>
                                  <w:rFonts w:ascii="Verdana" w:eastAsia="Times New Roman" w:hAnsi="Verdana" w:cs="Arial"/>
                                  <w:color w:val="000000"/>
                                  <w:sz w:val="24"/>
                                  <w:szCs w:val="24"/>
                                  <w:lang w:eastAsia="en-IN"/>
                                </w:rPr>
                              </w:pPr>
                            </w:p>
                          </w:tc>
                        </w:tr>
                      </w:tbl>
                      <w:p w14:paraId="67FF81F1" w14:textId="77777777" w:rsidR="00E94054" w:rsidRPr="00E94054" w:rsidRDefault="00E94054" w:rsidP="00E94054">
                        <w:pPr>
                          <w:spacing w:after="0" w:line="240" w:lineRule="auto"/>
                          <w:rPr>
                            <w:rFonts w:ascii="Arial" w:eastAsia="Times New Roman" w:hAnsi="Arial" w:cs="Arial"/>
                            <w:color w:val="000000"/>
                            <w:sz w:val="24"/>
                            <w:szCs w:val="24"/>
                            <w:lang w:eastAsia="en-IN"/>
                          </w:rPr>
                        </w:pPr>
                      </w:p>
                    </w:tc>
                  </w:tr>
                </w:tbl>
                <w:p w14:paraId="4EA7359B" w14:textId="77777777" w:rsidR="00E94054" w:rsidRPr="00E94054" w:rsidRDefault="00E94054" w:rsidP="00E94054">
                  <w:pPr>
                    <w:spacing w:after="0" w:line="240" w:lineRule="auto"/>
                    <w:rPr>
                      <w:rFonts w:ascii="Arial" w:eastAsia="Times New Roman" w:hAnsi="Arial" w:cs="Arial"/>
                      <w:color w:val="000000"/>
                      <w:sz w:val="24"/>
                      <w:szCs w:val="24"/>
                      <w:lang w:eastAsia="en-IN"/>
                    </w:rPr>
                  </w:pPr>
                </w:p>
              </w:tc>
            </w:tr>
          </w:tbl>
          <w:p w14:paraId="6728ABC5" w14:textId="775584DC" w:rsidR="00BB6004" w:rsidRPr="00BB6004" w:rsidRDefault="00BB6004" w:rsidP="00BB6004">
            <w:pPr>
              <w:spacing w:after="0" w:line="240" w:lineRule="auto"/>
              <w:rPr>
                <w:rFonts w:ascii="Arial" w:eastAsia="Times New Roman" w:hAnsi="Arial" w:cs="Arial"/>
                <w:color w:val="000000"/>
                <w:sz w:val="24"/>
                <w:szCs w:val="24"/>
                <w:lang w:eastAsia="en-IN"/>
              </w:rPr>
            </w:pPr>
          </w:p>
        </w:tc>
      </w:tr>
    </w:tbl>
    <w:p w14:paraId="0F559D07" w14:textId="77777777" w:rsidR="00BB6004" w:rsidRPr="00E94054" w:rsidRDefault="00BB6004">
      <w:pPr>
        <w:rPr>
          <w:rFonts w:cstheme="minorHAnsi"/>
          <w:color w:val="000000"/>
          <w:sz w:val="24"/>
          <w:szCs w:val="24"/>
          <w:shd w:val="clear" w:color="auto" w:fill="FFFFFF"/>
        </w:rPr>
      </w:pPr>
    </w:p>
    <w:p w14:paraId="2767054D" w14:textId="77777777" w:rsidR="005A1753" w:rsidRPr="005A1753" w:rsidRDefault="005A1753">
      <w:pPr>
        <w:rPr>
          <w:rFonts w:cstheme="minorHAnsi"/>
          <w:sz w:val="24"/>
          <w:szCs w:val="24"/>
        </w:rPr>
      </w:pPr>
    </w:p>
    <w:p w14:paraId="5AEA39E2" w14:textId="77777777" w:rsidR="00AC6BEF" w:rsidRPr="002D0725" w:rsidRDefault="00AC6BEF" w:rsidP="00AC6BEF">
      <w:pPr>
        <w:ind w:left="720" w:hanging="360"/>
        <w:rPr>
          <w:rFonts w:asciiTheme="majorHAnsi" w:hAnsiTheme="majorHAnsi" w:cstheme="majorHAnsi"/>
          <w:sz w:val="36"/>
          <w:szCs w:val="36"/>
        </w:rPr>
      </w:pPr>
      <w:r w:rsidRPr="002D0725">
        <w:rPr>
          <w:rFonts w:asciiTheme="majorHAnsi" w:hAnsiTheme="majorHAnsi" w:cstheme="majorHAnsi"/>
          <w:sz w:val="36"/>
          <w:szCs w:val="36"/>
          <w:u w:val="single"/>
        </w:rPr>
        <w:t>Components Required</w:t>
      </w:r>
      <w:r w:rsidRPr="002D0725">
        <w:rPr>
          <w:rFonts w:asciiTheme="majorHAnsi" w:hAnsiTheme="majorHAnsi" w:cstheme="majorHAnsi"/>
          <w:sz w:val="36"/>
          <w:szCs w:val="36"/>
        </w:rPr>
        <w:t>: -</w:t>
      </w:r>
    </w:p>
    <w:p w14:paraId="66BB739B" w14:textId="4D15A15E" w:rsidR="00AC6BEF" w:rsidRDefault="00AC6BEF" w:rsidP="00AC6BEF">
      <w:pPr>
        <w:pStyle w:val="ListParagraph"/>
        <w:numPr>
          <w:ilvl w:val="0"/>
          <w:numId w:val="2"/>
        </w:numPr>
        <w:shd w:val="clear" w:color="auto" w:fill="FFFFFF"/>
        <w:rPr>
          <w:rFonts w:eastAsia="Times New Roman" w:cstheme="minorHAnsi"/>
          <w:color w:val="000000"/>
          <w:sz w:val="24"/>
          <w:szCs w:val="24"/>
          <w:lang w:eastAsia="en-IN"/>
        </w:rPr>
      </w:pPr>
      <w:bookmarkStart w:id="0" w:name="_Hlk39516675"/>
      <w:r w:rsidRPr="00E82FAA">
        <w:rPr>
          <w:rFonts w:cstheme="minorHAnsi"/>
          <w:color w:val="3C3C3C"/>
          <w:sz w:val="24"/>
          <w:szCs w:val="24"/>
          <w:shd w:val="clear" w:color="auto" w:fill="FFFFFF"/>
        </w:rPr>
        <w:t xml:space="preserve">The payloads may be housed in insulated foam boxes/Styrofoam boxes. It may be wrapped in Al foil to provide the basic insulation, as well as radar reflection. Another way to provide better insulation would be to use- </w:t>
      </w:r>
      <w:r w:rsidRPr="00E82FAA">
        <w:rPr>
          <w:rFonts w:eastAsia="Times New Roman" w:cstheme="minorHAnsi"/>
          <w:color w:val="000000"/>
          <w:sz w:val="24"/>
          <w:szCs w:val="24"/>
          <w:lang w:eastAsia="en-IN"/>
        </w:rPr>
        <w:t>Kapton tape, which withstands a temperature down to -269 degrees Celsius</w:t>
      </w:r>
      <w:bookmarkEnd w:id="0"/>
      <w:r w:rsidRPr="00E82FAA">
        <w:rPr>
          <w:rFonts w:eastAsia="Times New Roman" w:cstheme="minorHAnsi"/>
          <w:color w:val="000000"/>
          <w:sz w:val="24"/>
          <w:szCs w:val="24"/>
          <w:lang w:eastAsia="en-IN"/>
        </w:rPr>
        <w:t>.</w:t>
      </w:r>
    </w:p>
    <w:p w14:paraId="51DC650C" w14:textId="606E4584" w:rsidR="00AC6BEF" w:rsidRPr="00C17FE3" w:rsidRDefault="00AC6BEF" w:rsidP="0060425D">
      <w:pPr>
        <w:pStyle w:val="ListParagraph"/>
        <w:shd w:val="clear" w:color="auto" w:fill="FFFFFF"/>
        <w:rPr>
          <w:rFonts w:eastAsia="Times New Roman" w:cstheme="minorHAnsi"/>
          <w:color w:val="000000"/>
          <w:sz w:val="24"/>
          <w:szCs w:val="24"/>
          <w:lang w:eastAsia="en-IN"/>
        </w:rPr>
      </w:pPr>
    </w:p>
    <w:p w14:paraId="2B13A4CA" w14:textId="77777777" w:rsidR="00C17FE3" w:rsidRDefault="00C17FE3" w:rsidP="00C17FE3">
      <w:pPr>
        <w:pStyle w:val="ListParagraph"/>
        <w:numPr>
          <w:ilvl w:val="0"/>
          <w:numId w:val="2"/>
        </w:numPr>
        <w:shd w:val="clear" w:color="auto" w:fill="FFFFFF"/>
        <w:rPr>
          <w:rFonts w:eastAsia="Times New Roman" w:cstheme="minorHAnsi"/>
          <w:color w:val="000000"/>
          <w:sz w:val="24"/>
          <w:szCs w:val="24"/>
          <w:lang w:eastAsia="en-IN"/>
        </w:rPr>
      </w:pPr>
      <w:bookmarkStart w:id="1" w:name="_Hlk39578037"/>
      <w:r>
        <w:rPr>
          <w:rFonts w:eastAsia="Times New Roman" w:cstheme="minorHAnsi"/>
          <w:color w:val="000000"/>
          <w:sz w:val="24"/>
          <w:szCs w:val="24"/>
          <w:lang w:eastAsia="en-IN"/>
        </w:rPr>
        <w:t xml:space="preserve">Sensors </w:t>
      </w:r>
    </w:p>
    <w:p w14:paraId="2BA590C2" w14:textId="03E4543D" w:rsidR="00C17FE3" w:rsidRDefault="00C17FE3" w:rsidP="00C17FE3">
      <w:pPr>
        <w:pStyle w:val="ListParagraph"/>
        <w:numPr>
          <w:ilvl w:val="0"/>
          <w:numId w:val="4"/>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CO2 sensor</w:t>
      </w:r>
      <w:r>
        <w:rPr>
          <w:rFonts w:eastAsia="Times New Roman" w:cstheme="minorHAnsi"/>
          <w:color w:val="000000"/>
          <w:sz w:val="24"/>
          <w:szCs w:val="24"/>
          <w:lang w:eastAsia="en-IN"/>
        </w:rPr>
        <w:t xml:space="preserve"> </w:t>
      </w:r>
      <w:r w:rsidRPr="008911F1">
        <w:rPr>
          <w:rFonts w:eastAsia="Times New Roman" w:cstheme="minorHAnsi"/>
          <w:color w:val="000000"/>
          <w:sz w:val="24"/>
          <w:szCs w:val="24"/>
          <w:lang w:eastAsia="en-IN"/>
        </w:rPr>
        <w:t>[</w:t>
      </w:r>
      <w:r w:rsidR="005B17F3">
        <w:t>Measure CO₂ gas concentration</w:t>
      </w:r>
      <w:r>
        <w:rPr>
          <w:rFonts w:eastAsia="Times New Roman" w:cstheme="minorHAnsi"/>
          <w:color w:val="000000"/>
          <w:sz w:val="24"/>
          <w:szCs w:val="24"/>
          <w:lang w:eastAsia="en-IN"/>
        </w:rPr>
        <w:t>]</w:t>
      </w:r>
    </w:p>
    <w:p w14:paraId="09AF1EDF" w14:textId="77777777" w:rsidR="00C17FE3" w:rsidRDefault="00C17FE3" w:rsidP="00C17FE3">
      <w:pPr>
        <w:pStyle w:val="ListParagraph"/>
        <w:numPr>
          <w:ilvl w:val="0"/>
          <w:numId w:val="4"/>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 xml:space="preserve">Pressure </w:t>
      </w:r>
      <w:r>
        <w:rPr>
          <w:rFonts w:eastAsia="Times New Roman" w:cstheme="minorHAnsi"/>
          <w:color w:val="000000"/>
          <w:sz w:val="24"/>
          <w:szCs w:val="24"/>
          <w:lang w:eastAsia="en-IN"/>
        </w:rPr>
        <w:t>[To measure the difference in pressure at that altitude, and on ground]</w:t>
      </w:r>
    </w:p>
    <w:p w14:paraId="1E4013ED" w14:textId="62DD95CC" w:rsidR="00C17FE3" w:rsidRDefault="00C17FE3" w:rsidP="00C17FE3">
      <w:pPr>
        <w:pStyle w:val="ListParagraph"/>
        <w:numPr>
          <w:ilvl w:val="0"/>
          <w:numId w:val="4"/>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 xml:space="preserve">Temperature </w:t>
      </w:r>
      <w:r>
        <w:rPr>
          <w:rFonts w:eastAsia="Times New Roman" w:cstheme="minorHAnsi"/>
          <w:color w:val="000000"/>
          <w:sz w:val="24"/>
          <w:szCs w:val="24"/>
          <w:lang w:eastAsia="en-IN"/>
        </w:rPr>
        <w:t>[To measure the temperature, and compare with the temperature on land.]</w:t>
      </w:r>
    </w:p>
    <w:p w14:paraId="1B492672" w14:textId="70709832" w:rsidR="00C17FE3" w:rsidRDefault="00C17FE3" w:rsidP="00C17FE3">
      <w:pPr>
        <w:pStyle w:val="ListParagraph"/>
        <w:numPr>
          <w:ilvl w:val="0"/>
          <w:numId w:val="4"/>
        </w:numPr>
        <w:shd w:val="clear" w:color="auto" w:fill="FFFFFF"/>
        <w:rPr>
          <w:rFonts w:eastAsia="Times New Roman" w:cstheme="minorHAnsi"/>
          <w:color w:val="000000"/>
          <w:sz w:val="24"/>
          <w:szCs w:val="24"/>
          <w:lang w:eastAsia="en-IN"/>
        </w:rPr>
      </w:pPr>
      <w:r w:rsidRPr="008911F1">
        <w:rPr>
          <w:rFonts w:eastAsia="Times New Roman" w:cstheme="minorHAnsi"/>
          <w:color w:val="000000"/>
          <w:sz w:val="24"/>
          <w:szCs w:val="24"/>
          <w:lang w:eastAsia="en-IN"/>
        </w:rPr>
        <w:t xml:space="preserve">Altitude </w:t>
      </w:r>
      <w:r>
        <w:rPr>
          <w:rFonts w:eastAsia="Times New Roman" w:cstheme="minorHAnsi"/>
          <w:color w:val="000000"/>
          <w:sz w:val="24"/>
          <w:szCs w:val="24"/>
          <w:lang w:eastAsia="en-IN"/>
        </w:rPr>
        <w:t>[To know, at what altitude the ozone detection is taking place]</w:t>
      </w:r>
    </w:p>
    <w:p w14:paraId="2A8BB52B" w14:textId="7EC777CF" w:rsidR="00C17FE3" w:rsidRDefault="00C17FE3" w:rsidP="00C17FE3">
      <w:pPr>
        <w:pStyle w:val="ListParagraph"/>
        <w:numPr>
          <w:ilvl w:val="0"/>
          <w:numId w:val="4"/>
        </w:numPr>
        <w:shd w:val="clear" w:color="auto" w:fill="FFFFFF"/>
        <w:rPr>
          <w:rFonts w:eastAsia="Times New Roman" w:cstheme="minorHAnsi"/>
          <w:color w:val="000000"/>
          <w:sz w:val="24"/>
          <w:szCs w:val="24"/>
          <w:lang w:eastAsia="en-IN"/>
        </w:rPr>
      </w:pPr>
      <w:r>
        <w:rPr>
          <w:rFonts w:eastAsia="Times New Roman" w:cstheme="minorHAnsi"/>
          <w:color w:val="000000"/>
          <w:sz w:val="24"/>
          <w:szCs w:val="24"/>
          <w:lang w:eastAsia="en-IN"/>
        </w:rPr>
        <w:t xml:space="preserve">Ozone </w:t>
      </w:r>
      <w:r w:rsidR="005B17F3">
        <w:rPr>
          <w:rFonts w:eastAsia="Times New Roman" w:cstheme="minorHAnsi"/>
          <w:color w:val="000000"/>
          <w:sz w:val="24"/>
          <w:szCs w:val="24"/>
          <w:lang w:eastAsia="en-IN"/>
        </w:rPr>
        <w:t>sensor [</w:t>
      </w:r>
      <w:r w:rsidR="005B17F3">
        <w:t>Measure O₃ gas concentration]</w:t>
      </w:r>
    </w:p>
    <w:p w14:paraId="275E83D0" w14:textId="77777777" w:rsidR="00C17FE3" w:rsidRPr="00B15D02" w:rsidRDefault="00C17FE3" w:rsidP="00C17FE3">
      <w:pPr>
        <w:pStyle w:val="ListParagraph"/>
        <w:numPr>
          <w:ilvl w:val="0"/>
          <w:numId w:val="2"/>
        </w:numPr>
        <w:rPr>
          <w:rFonts w:cstheme="minorHAnsi"/>
          <w:sz w:val="24"/>
          <w:szCs w:val="24"/>
        </w:rPr>
      </w:pPr>
      <w:bookmarkStart w:id="2" w:name="_Hlk39578934"/>
      <w:bookmarkEnd w:id="1"/>
      <w:r w:rsidRPr="00B15D02">
        <w:rPr>
          <w:rFonts w:cstheme="minorHAnsi"/>
          <w:sz w:val="24"/>
          <w:szCs w:val="24"/>
        </w:rPr>
        <w:lastRenderedPageBreak/>
        <w:t>Battery(s) (Lightweight), 9-Volt</w:t>
      </w:r>
    </w:p>
    <w:p w14:paraId="6FF391C2" w14:textId="77777777" w:rsidR="00C17FE3" w:rsidRPr="00E82FAA" w:rsidRDefault="00C17FE3" w:rsidP="00C17FE3">
      <w:pPr>
        <w:pStyle w:val="ListParagraph"/>
        <w:numPr>
          <w:ilvl w:val="0"/>
          <w:numId w:val="2"/>
        </w:numPr>
        <w:rPr>
          <w:rFonts w:cstheme="minorHAnsi"/>
          <w:sz w:val="24"/>
          <w:szCs w:val="24"/>
        </w:rPr>
      </w:pPr>
      <w:r w:rsidRPr="00E82FAA">
        <w:rPr>
          <w:rFonts w:cstheme="minorHAnsi"/>
          <w:sz w:val="24"/>
          <w:szCs w:val="24"/>
        </w:rPr>
        <w:t>Controller Board</w:t>
      </w:r>
      <w:r>
        <w:rPr>
          <w:rFonts w:cstheme="minorHAnsi"/>
          <w:sz w:val="24"/>
          <w:szCs w:val="24"/>
        </w:rPr>
        <w:t xml:space="preserve">- Arduino, Arduino Battery </w:t>
      </w:r>
    </w:p>
    <w:p w14:paraId="6E2BBF74" w14:textId="77777777" w:rsidR="00C17FE3" w:rsidRPr="00E82FAA" w:rsidRDefault="00C17FE3" w:rsidP="00C17FE3">
      <w:pPr>
        <w:pStyle w:val="ListParagraph"/>
        <w:numPr>
          <w:ilvl w:val="0"/>
          <w:numId w:val="2"/>
        </w:numPr>
        <w:rPr>
          <w:rFonts w:cstheme="minorHAnsi"/>
          <w:sz w:val="24"/>
          <w:szCs w:val="24"/>
        </w:rPr>
      </w:pPr>
      <w:r w:rsidRPr="00E82FAA">
        <w:rPr>
          <w:rFonts w:cstheme="minorHAnsi"/>
          <w:sz w:val="24"/>
          <w:szCs w:val="24"/>
        </w:rPr>
        <w:t>Linear Actuator</w:t>
      </w:r>
      <w:r>
        <w:rPr>
          <w:rFonts w:cstheme="minorHAnsi"/>
          <w:sz w:val="24"/>
          <w:szCs w:val="24"/>
        </w:rPr>
        <w:t xml:space="preserve"> [To maintain centre of mass of the payload, and ensure greater stability]</w:t>
      </w:r>
    </w:p>
    <w:p w14:paraId="1F5CA846" w14:textId="3E76CAC0" w:rsidR="00C17FE3" w:rsidRDefault="007A6187" w:rsidP="00C17FE3">
      <w:pPr>
        <w:pStyle w:val="ListParagraph"/>
        <w:numPr>
          <w:ilvl w:val="0"/>
          <w:numId w:val="2"/>
        </w:numPr>
        <w:rPr>
          <w:rFonts w:cstheme="minorHAnsi"/>
          <w:sz w:val="24"/>
          <w:szCs w:val="24"/>
        </w:rPr>
      </w:pPr>
      <w:r>
        <w:rPr>
          <w:rFonts w:cstheme="minorHAnsi"/>
          <w:sz w:val="24"/>
          <w:szCs w:val="24"/>
        </w:rPr>
        <w:t xml:space="preserve">2 </w:t>
      </w:r>
      <w:r w:rsidR="00C17FE3" w:rsidRPr="00E82FAA">
        <w:rPr>
          <w:rFonts w:cstheme="minorHAnsi"/>
          <w:sz w:val="24"/>
          <w:szCs w:val="24"/>
        </w:rPr>
        <w:t>Cameras</w:t>
      </w:r>
      <w:r w:rsidR="00C17FE3">
        <w:rPr>
          <w:rFonts w:cstheme="minorHAnsi"/>
          <w:sz w:val="24"/>
          <w:szCs w:val="24"/>
        </w:rPr>
        <w:t xml:space="preserve"> [To click images of the surroundings as seen from the payload at high-altitude.]</w:t>
      </w:r>
    </w:p>
    <w:p w14:paraId="40B044E5" w14:textId="48F0C2D0" w:rsidR="00C17FE3" w:rsidRDefault="00C17FE3" w:rsidP="00C17FE3">
      <w:pPr>
        <w:pStyle w:val="ListParagraph"/>
        <w:numPr>
          <w:ilvl w:val="0"/>
          <w:numId w:val="2"/>
        </w:numPr>
        <w:rPr>
          <w:rFonts w:cstheme="minorHAnsi"/>
          <w:sz w:val="24"/>
          <w:szCs w:val="24"/>
        </w:rPr>
      </w:pPr>
      <w:r>
        <w:rPr>
          <w:rFonts w:cstheme="minorHAnsi"/>
          <w:sz w:val="24"/>
          <w:szCs w:val="24"/>
        </w:rPr>
        <w:t>Telemetry unit – (</w:t>
      </w:r>
      <w:r w:rsidRPr="00E82FAA">
        <w:rPr>
          <w:rFonts w:cstheme="minorHAnsi"/>
          <w:sz w:val="24"/>
          <w:szCs w:val="24"/>
        </w:rPr>
        <w:t>APRS Tracker</w:t>
      </w:r>
      <w:r>
        <w:rPr>
          <w:rFonts w:cstheme="minorHAnsi"/>
          <w:sz w:val="24"/>
          <w:szCs w:val="24"/>
        </w:rPr>
        <w:t>, GPS Receiver)</w:t>
      </w:r>
    </w:p>
    <w:p w14:paraId="576E7CEE" w14:textId="139EC0D3" w:rsidR="00E01989" w:rsidRPr="00E82FAA" w:rsidRDefault="00EF45C4" w:rsidP="00C17FE3">
      <w:pPr>
        <w:pStyle w:val="ListParagraph"/>
        <w:numPr>
          <w:ilvl w:val="0"/>
          <w:numId w:val="2"/>
        </w:numPr>
        <w:rPr>
          <w:rFonts w:cstheme="minorHAnsi"/>
          <w:sz w:val="24"/>
          <w:szCs w:val="24"/>
        </w:rPr>
      </w:pPr>
      <w:r>
        <w:rPr>
          <w:rFonts w:cstheme="minorHAnsi"/>
          <w:sz w:val="24"/>
          <w:szCs w:val="24"/>
        </w:rPr>
        <w:t xml:space="preserve">Silica </w:t>
      </w:r>
      <w:r w:rsidR="00E01989">
        <w:rPr>
          <w:rFonts w:cstheme="minorHAnsi"/>
          <w:sz w:val="24"/>
          <w:szCs w:val="24"/>
        </w:rPr>
        <w:t>Aerogel</w:t>
      </w:r>
    </w:p>
    <w:bookmarkEnd w:id="2"/>
    <w:p w14:paraId="25C5A9E6" w14:textId="77777777" w:rsidR="00C17FE3" w:rsidRPr="00C17FE3" w:rsidRDefault="00C17FE3" w:rsidP="00C17FE3">
      <w:pPr>
        <w:pStyle w:val="ListParagraph"/>
        <w:shd w:val="clear" w:color="auto" w:fill="FFFFFF"/>
        <w:rPr>
          <w:rFonts w:eastAsia="Times New Roman" w:cstheme="minorHAnsi"/>
          <w:color w:val="000000"/>
          <w:sz w:val="24"/>
          <w:szCs w:val="24"/>
          <w:lang w:eastAsia="en-IN"/>
        </w:rPr>
      </w:pPr>
    </w:p>
    <w:p w14:paraId="67E1C25C" w14:textId="31E2FE44" w:rsidR="00AC6BEF" w:rsidRDefault="005B17F3" w:rsidP="005B17F3">
      <w:pPr>
        <w:jc w:val="center"/>
        <w:rPr>
          <w:rFonts w:asciiTheme="majorHAnsi" w:hAnsiTheme="majorHAnsi" w:cstheme="majorHAnsi"/>
          <w:sz w:val="44"/>
          <w:szCs w:val="44"/>
        </w:rPr>
      </w:pPr>
      <w:r>
        <w:rPr>
          <w:noProof/>
        </w:rPr>
        <w:drawing>
          <wp:inline distT="0" distB="0" distL="0" distR="0" wp14:anchorId="5EAD0B4F" wp14:editId="13189A45">
            <wp:extent cx="42862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438525"/>
                    </a:xfrm>
                    <a:prstGeom prst="rect">
                      <a:avLst/>
                    </a:prstGeom>
                    <a:noFill/>
                    <a:ln>
                      <a:noFill/>
                    </a:ln>
                  </pic:spPr>
                </pic:pic>
              </a:graphicData>
            </a:graphic>
          </wp:inline>
        </w:drawing>
      </w:r>
    </w:p>
    <w:p w14:paraId="485A12CE" w14:textId="4290558F" w:rsidR="00AC6BEF" w:rsidRDefault="00AC6BEF">
      <w:pPr>
        <w:rPr>
          <w:rFonts w:asciiTheme="majorHAnsi" w:hAnsiTheme="majorHAnsi" w:cstheme="majorHAnsi"/>
          <w:sz w:val="44"/>
          <w:szCs w:val="44"/>
        </w:rPr>
      </w:pPr>
    </w:p>
    <w:p w14:paraId="6238114C" w14:textId="1BFC6F19" w:rsidR="00AC6BEF" w:rsidRDefault="00AC6BEF">
      <w:pPr>
        <w:rPr>
          <w:rFonts w:asciiTheme="majorHAnsi" w:hAnsiTheme="majorHAnsi" w:cstheme="majorHAnsi"/>
          <w:sz w:val="44"/>
          <w:szCs w:val="44"/>
        </w:rPr>
      </w:pPr>
    </w:p>
    <w:p w14:paraId="0975AD64" w14:textId="77777777" w:rsidR="00AC6BEF" w:rsidRDefault="00AC6BEF" w:rsidP="00AC6BEF">
      <w:pPr>
        <w:ind w:left="720" w:hanging="360"/>
        <w:rPr>
          <w:sz w:val="36"/>
          <w:szCs w:val="36"/>
        </w:rPr>
      </w:pPr>
      <w:r w:rsidRPr="00A07A2D">
        <w:rPr>
          <w:sz w:val="36"/>
          <w:szCs w:val="36"/>
        </w:rPr>
        <w:t>References and additional sources</w:t>
      </w:r>
      <w:r>
        <w:rPr>
          <w:sz w:val="36"/>
          <w:szCs w:val="36"/>
        </w:rPr>
        <w:t>-</w:t>
      </w:r>
    </w:p>
    <w:p w14:paraId="3E3EC76E" w14:textId="6D27DFF3" w:rsidR="00AC6BEF" w:rsidRDefault="00BA3CCC" w:rsidP="00AC6BEF">
      <w:pPr>
        <w:pStyle w:val="ListParagraph"/>
        <w:numPr>
          <w:ilvl w:val="0"/>
          <w:numId w:val="1"/>
        </w:numPr>
        <w:rPr>
          <w:rFonts w:cstheme="minorHAnsi"/>
          <w:sz w:val="28"/>
          <w:szCs w:val="28"/>
        </w:rPr>
      </w:pPr>
      <w:hyperlink r:id="rId10" w:history="1">
        <w:r w:rsidR="00AC6BEF" w:rsidRPr="006105E7">
          <w:rPr>
            <w:rStyle w:val="Hyperlink"/>
            <w:rFonts w:cstheme="minorHAnsi"/>
            <w:sz w:val="28"/>
            <w:szCs w:val="28"/>
          </w:rPr>
          <w:t>https://mde.state.md.us/programs/Air/AirQualityMonitoring/Pages/Balloon.aspx</w:t>
        </w:r>
      </w:hyperlink>
    </w:p>
    <w:p w14:paraId="2DC74DF0" w14:textId="127E3AE3" w:rsidR="00A044B1" w:rsidRPr="0060425D" w:rsidRDefault="00BA3CCC" w:rsidP="00AC6BEF">
      <w:pPr>
        <w:pStyle w:val="ListParagraph"/>
        <w:numPr>
          <w:ilvl w:val="0"/>
          <w:numId w:val="1"/>
        </w:numPr>
        <w:rPr>
          <w:rStyle w:val="Hyperlink"/>
          <w:rFonts w:cstheme="minorHAnsi"/>
          <w:color w:val="auto"/>
          <w:sz w:val="28"/>
          <w:szCs w:val="28"/>
          <w:u w:val="none"/>
        </w:rPr>
      </w:pPr>
      <w:hyperlink r:id="rId11" w:history="1">
        <w:r w:rsidR="00A044B1" w:rsidRPr="00A044B1">
          <w:rPr>
            <w:rStyle w:val="Hyperlink"/>
            <w:sz w:val="28"/>
            <w:szCs w:val="28"/>
          </w:rPr>
          <w:t>https://via.library.depaul.edu/cgi/viewcontent.cgi?referer=https://www.google.com/&amp;httpsredir=1&amp;article=1088&amp;context=depaul-disc</w:t>
        </w:r>
      </w:hyperlink>
    </w:p>
    <w:p w14:paraId="0FA5CC91" w14:textId="19AE5CD3" w:rsidR="0060425D" w:rsidRPr="005B17F3" w:rsidRDefault="00BA3CCC" w:rsidP="00AC6BEF">
      <w:pPr>
        <w:pStyle w:val="ListParagraph"/>
        <w:numPr>
          <w:ilvl w:val="0"/>
          <w:numId w:val="1"/>
        </w:numPr>
        <w:rPr>
          <w:rFonts w:cstheme="minorHAnsi"/>
          <w:sz w:val="28"/>
          <w:szCs w:val="28"/>
        </w:rPr>
      </w:pPr>
      <w:hyperlink r:id="rId12" w:history="1">
        <w:r w:rsidR="0060425D" w:rsidRPr="0060425D">
          <w:rPr>
            <w:rStyle w:val="Hyperlink"/>
            <w:sz w:val="28"/>
            <w:szCs w:val="28"/>
          </w:rPr>
          <w:t>https://ntrs.nasa.gov/archive/nasa/casi.ntrs.nasa.gov/19900015791.pdf</w:t>
        </w:r>
      </w:hyperlink>
    </w:p>
    <w:p w14:paraId="512BCF23" w14:textId="093FE6E3" w:rsidR="005B17F3" w:rsidRPr="00E94054" w:rsidRDefault="00BA3CCC" w:rsidP="00AC6BEF">
      <w:pPr>
        <w:pStyle w:val="ListParagraph"/>
        <w:numPr>
          <w:ilvl w:val="0"/>
          <w:numId w:val="1"/>
        </w:numPr>
        <w:rPr>
          <w:rStyle w:val="Hyperlink"/>
          <w:rFonts w:cstheme="minorHAnsi"/>
          <w:color w:val="auto"/>
          <w:sz w:val="28"/>
          <w:szCs w:val="28"/>
          <w:u w:val="none"/>
        </w:rPr>
      </w:pPr>
      <w:hyperlink r:id="rId13" w:history="1">
        <w:r w:rsidR="005B17F3" w:rsidRPr="005B17F3">
          <w:rPr>
            <w:rStyle w:val="Hyperlink"/>
            <w:sz w:val="28"/>
            <w:szCs w:val="28"/>
          </w:rPr>
          <w:t>http://www.hrpub.org/download/20180630/EER7-14011153.pdf</w:t>
        </w:r>
      </w:hyperlink>
    </w:p>
    <w:p w14:paraId="7389529A" w14:textId="29E96E33" w:rsidR="00E94054" w:rsidRPr="00E94054" w:rsidRDefault="00E94054" w:rsidP="00AC6BEF">
      <w:pPr>
        <w:pStyle w:val="ListParagraph"/>
        <w:numPr>
          <w:ilvl w:val="0"/>
          <w:numId w:val="1"/>
        </w:numPr>
        <w:rPr>
          <w:rFonts w:cstheme="minorHAnsi"/>
          <w:sz w:val="28"/>
          <w:szCs w:val="28"/>
        </w:rPr>
      </w:pPr>
      <w:hyperlink r:id="rId14" w:history="1">
        <w:r w:rsidRPr="00E94054">
          <w:rPr>
            <w:rStyle w:val="Hyperlink"/>
            <w:sz w:val="28"/>
            <w:szCs w:val="28"/>
          </w:rPr>
          <w:t>https://stardust.jpl.nasa.gov/tech/aerogel.html</w:t>
        </w:r>
      </w:hyperlink>
    </w:p>
    <w:sectPr w:rsidR="00E94054" w:rsidRPr="00E94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5pt;height:1.5pt;visibility:visible;mso-wrap-style:square" o:bullet="t">
        <v:imagedata r:id="rId1" o:title=""/>
      </v:shape>
    </w:pict>
  </w:numPicBullet>
  <w:abstractNum w:abstractNumId="0" w15:restartNumberingAfterBreak="0">
    <w:nsid w:val="14F703FB"/>
    <w:multiLevelType w:val="hybridMultilevel"/>
    <w:tmpl w:val="13AC11D8"/>
    <w:lvl w:ilvl="0" w:tplc="6B762F1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C46CBA"/>
    <w:multiLevelType w:val="hybridMultilevel"/>
    <w:tmpl w:val="C478ABE2"/>
    <w:lvl w:ilvl="0" w:tplc="837C98FE">
      <w:start w:val="1"/>
      <w:numFmt w:val="bullet"/>
      <w:lvlText w:val=""/>
      <w:lvlPicBulletId w:val="0"/>
      <w:lvlJc w:val="left"/>
      <w:pPr>
        <w:tabs>
          <w:tab w:val="num" w:pos="720"/>
        </w:tabs>
        <w:ind w:left="720" w:hanging="360"/>
      </w:pPr>
      <w:rPr>
        <w:rFonts w:ascii="Symbol" w:hAnsi="Symbol" w:hint="default"/>
      </w:rPr>
    </w:lvl>
    <w:lvl w:ilvl="1" w:tplc="C56C6B82" w:tentative="1">
      <w:start w:val="1"/>
      <w:numFmt w:val="bullet"/>
      <w:lvlText w:val=""/>
      <w:lvlJc w:val="left"/>
      <w:pPr>
        <w:tabs>
          <w:tab w:val="num" w:pos="1440"/>
        </w:tabs>
        <w:ind w:left="1440" w:hanging="360"/>
      </w:pPr>
      <w:rPr>
        <w:rFonts w:ascii="Symbol" w:hAnsi="Symbol" w:hint="default"/>
      </w:rPr>
    </w:lvl>
    <w:lvl w:ilvl="2" w:tplc="FBC434F0" w:tentative="1">
      <w:start w:val="1"/>
      <w:numFmt w:val="bullet"/>
      <w:lvlText w:val=""/>
      <w:lvlJc w:val="left"/>
      <w:pPr>
        <w:tabs>
          <w:tab w:val="num" w:pos="2160"/>
        </w:tabs>
        <w:ind w:left="2160" w:hanging="360"/>
      </w:pPr>
      <w:rPr>
        <w:rFonts w:ascii="Symbol" w:hAnsi="Symbol" w:hint="default"/>
      </w:rPr>
    </w:lvl>
    <w:lvl w:ilvl="3" w:tplc="3CC0EB36" w:tentative="1">
      <w:start w:val="1"/>
      <w:numFmt w:val="bullet"/>
      <w:lvlText w:val=""/>
      <w:lvlJc w:val="left"/>
      <w:pPr>
        <w:tabs>
          <w:tab w:val="num" w:pos="2880"/>
        </w:tabs>
        <w:ind w:left="2880" w:hanging="360"/>
      </w:pPr>
      <w:rPr>
        <w:rFonts w:ascii="Symbol" w:hAnsi="Symbol" w:hint="default"/>
      </w:rPr>
    </w:lvl>
    <w:lvl w:ilvl="4" w:tplc="0186CC3E" w:tentative="1">
      <w:start w:val="1"/>
      <w:numFmt w:val="bullet"/>
      <w:lvlText w:val=""/>
      <w:lvlJc w:val="left"/>
      <w:pPr>
        <w:tabs>
          <w:tab w:val="num" w:pos="3600"/>
        </w:tabs>
        <w:ind w:left="3600" w:hanging="360"/>
      </w:pPr>
      <w:rPr>
        <w:rFonts w:ascii="Symbol" w:hAnsi="Symbol" w:hint="default"/>
      </w:rPr>
    </w:lvl>
    <w:lvl w:ilvl="5" w:tplc="DEE21298" w:tentative="1">
      <w:start w:val="1"/>
      <w:numFmt w:val="bullet"/>
      <w:lvlText w:val=""/>
      <w:lvlJc w:val="left"/>
      <w:pPr>
        <w:tabs>
          <w:tab w:val="num" w:pos="4320"/>
        </w:tabs>
        <w:ind w:left="4320" w:hanging="360"/>
      </w:pPr>
      <w:rPr>
        <w:rFonts w:ascii="Symbol" w:hAnsi="Symbol" w:hint="default"/>
      </w:rPr>
    </w:lvl>
    <w:lvl w:ilvl="6" w:tplc="A4500E18" w:tentative="1">
      <w:start w:val="1"/>
      <w:numFmt w:val="bullet"/>
      <w:lvlText w:val=""/>
      <w:lvlJc w:val="left"/>
      <w:pPr>
        <w:tabs>
          <w:tab w:val="num" w:pos="5040"/>
        </w:tabs>
        <w:ind w:left="5040" w:hanging="360"/>
      </w:pPr>
      <w:rPr>
        <w:rFonts w:ascii="Symbol" w:hAnsi="Symbol" w:hint="default"/>
      </w:rPr>
    </w:lvl>
    <w:lvl w:ilvl="7" w:tplc="25EC2844" w:tentative="1">
      <w:start w:val="1"/>
      <w:numFmt w:val="bullet"/>
      <w:lvlText w:val=""/>
      <w:lvlJc w:val="left"/>
      <w:pPr>
        <w:tabs>
          <w:tab w:val="num" w:pos="5760"/>
        </w:tabs>
        <w:ind w:left="5760" w:hanging="360"/>
      </w:pPr>
      <w:rPr>
        <w:rFonts w:ascii="Symbol" w:hAnsi="Symbol" w:hint="default"/>
      </w:rPr>
    </w:lvl>
    <w:lvl w:ilvl="8" w:tplc="2FC4FF9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A7E7D1A"/>
    <w:multiLevelType w:val="hybridMultilevel"/>
    <w:tmpl w:val="105E51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C63521"/>
    <w:multiLevelType w:val="hybridMultilevel"/>
    <w:tmpl w:val="D730D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E21048"/>
    <w:multiLevelType w:val="hybridMultilevel"/>
    <w:tmpl w:val="C2C24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3D1F4F"/>
    <w:multiLevelType w:val="hybridMultilevel"/>
    <w:tmpl w:val="D166EEB6"/>
    <w:lvl w:ilvl="0" w:tplc="06D46324">
      <w:start w:val="1"/>
      <w:numFmt w:val="decimal"/>
      <w:lvlText w:val="%1."/>
      <w:lvlJc w:val="left"/>
      <w:pPr>
        <w:ind w:left="720" w:hanging="360"/>
      </w:pPr>
      <w:rPr>
        <w:rFonts w:asciiTheme="minorHAnsi" w:hAnsiTheme="minorHAns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C56591"/>
    <w:multiLevelType w:val="hybridMultilevel"/>
    <w:tmpl w:val="555898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7264FAA"/>
    <w:multiLevelType w:val="hybridMultilevel"/>
    <w:tmpl w:val="C3D44E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EF"/>
    <w:rsid w:val="000113B3"/>
    <w:rsid w:val="00254E94"/>
    <w:rsid w:val="004C12C5"/>
    <w:rsid w:val="00595D6F"/>
    <w:rsid w:val="005A1753"/>
    <w:rsid w:val="005B17F3"/>
    <w:rsid w:val="0060425D"/>
    <w:rsid w:val="00662E57"/>
    <w:rsid w:val="00734320"/>
    <w:rsid w:val="007A6187"/>
    <w:rsid w:val="009846BB"/>
    <w:rsid w:val="009D7A58"/>
    <w:rsid w:val="00A044B1"/>
    <w:rsid w:val="00AC6BEF"/>
    <w:rsid w:val="00BA3CCC"/>
    <w:rsid w:val="00BB6004"/>
    <w:rsid w:val="00C17FE3"/>
    <w:rsid w:val="00E01989"/>
    <w:rsid w:val="00E03418"/>
    <w:rsid w:val="00E94054"/>
    <w:rsid w:val="00EF4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6AC6"/>
  <w15:chartTrackingRefBased/>
  <w15:docId w15:val="{634F0D39-34FA-4050-A458-B341A59B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BEF"/>
    <w:rPr>
      <w:color w:val="0000FF"/>
      <w:u w:val="single"/>
    </w:rPr>
  </w:style>
  <w:style w:type="paragraph" w:styleId="ListParagraph">
    <w:name w:val="List Paragraph"/>
    <w:basedOn w:val="Normal"/>
    <w:uiPriority w:val="34"/>
    <w:qFormat/>
    <w:rsid w:val="00AC6BEF"/>
    <w:pPr>
      <w:ind w:left="720"/>
      <w:contextualSpacing/>
    </w:pPr>
  </w:style>
  <w:style w:type="character" w:styleId="UnresolvedMention">
    <w:name w:val="Unresolved Mention"/>
    <w:basedOn w:val="DefaultParagraphFont"/>
    <w:uiPriority w:val="99"/>
    <w:semiHidden/>
    <w:unhideWhenUsed/>
    <w:rsid w:val="00AC6BEF"/>
    <w:rPr>
      <w:color w:val="605E5C"/>
      <w:shd w:val="clear" w:color="auto" w:fill="E1DFDD"/>
    </w:rPr>
  </w:style>
  <w:style w:type="paragraph" w:styleId="NormalWeb">
    <w:name w:val="Normal (Web)"/>
    <w:basedOn w:val="Normal"/>
    <w:uiPriority w:val="99"/>
    <w:semiHidden/>
    <w:unhideWhenUsed/>
    <w:rsid w:val="00BB60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E940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466740">
      <w:bodyDiv w:val="1"/>
      <w:marLeft w:val="0"/>
      <w:marRight w:val="0"/>
      <w:marTop w:val="0"/>
      <w:marBottom w:val="0"/>
      <w:divBdr>
        <w:top w:val="none" w:sz="0" w:space="0" w:color="auto"/>
        <w:left w:val="none" w:sz="0" w:space="0" w:color="auto"/>
        <w:bottom w:val="none" w:sz="0" w:space="0" w:color="auto"/>
        <w:right w:val="none" w:sz="0" w:space="0" w:color="auto"/>
      </w:divBdr>
    </w:div>
    <w:div w:id="19908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hrpub.org/download/20180630/EER7-14011153.pdf" TargetMode="External"/><Relationship Id="rId3" Type="http://schemas.openxmlformats.org/officeDocument/2006/relationships/settings" Target="settings.xml"/><Relationship Id="rId7" Type="http://schemas.openxmlformats.org/officeDocument/2006/relationships/hyperlink" Target="https://stardust.jpl.nasa.gov/images/technology/trk-l.jpg" TargetMode="External"/><Relationship Id="rId12" Type="http://schemas.openxmlformats.org/officeDocument/2006/relationships/hyperlink" Target="https://ntrs.nasa.gov/archive/nasa/casi.ntrs.nasa.gov/1990001579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s://via.library.depaul.edu/cgi/viewcontent.cgi?referer=https://www.google.com/&amp;httpsredir=1&amp;article=1088&amp;context=depaul-disc"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mde.state.md.us/programs/Air/AirQualityMonitoring/Pages/Balloon.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rdust.jpl.nasa.gov/tech/aerogel.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 </cp:lastModifiedBy>
  <cp:revision>5</cp:revision>
  <dcterms:created xsi:type="dcterms:W3CDTF">2020-07-11T12:55:00Z</dcterms:created>
  <dcterms:modified xsi:type="dcterms:W3CDTF">2020-07-11T13:14:00Z</dcterms:modified>
</cp:coreProperties>
</file>