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28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40"/>
              <w:jc w:val="center"/>
            </w:pPr>
            <w:r>
              <w:rPr>
                <w:sz w:val="22"/>
              </w:rPr>
              <w:t>Sagnik Basu</w:t>
            </w:r>
          </w:p>
          <w:p w14:paraId="23A91FFE" w14:textId="77777777" w:rsidR="001E6B92" w:rsidRDefault="00000000">
            <w:pPr>
              <w:spacing w:after="0"/>
              <w:jc w:val="center"/>
            </w:pPr>
            <w:r>
              <w:t>Reg. No. 240953528</w:t>
            </w:r>
          </w:p>
          <w:p w14:paraId="2A3D0926" w14:textId="77777777" w:rsidR="001E6B92" w:rsidRDefault="00000000">
            <w:pPr>
              <w:spacing w:after="0"/>
              <w:jc w:val="center"/>
            </w:pPr>
            <w:r>
              <w:t>Roll No. 42</w:t>
            </w:r>
          </w:p>
        </w:tc>
        <w:tc>
          <w:tcPr>
            <w:tcW w:w="3480" w:type="dxa"/>
          </w:tcPr>
          <w:p w14:paraId="0294C14A" w14:textId="77777777" w:rsidR="001E6B92" w:rsidRDefault="00000000">
            <w:pPr>
              <w:spacing w:after="40"/>
              <w:jc w:val="center"/>
            </w:pPr>
            <w:r>
              <w:rPr>
                <w:sz w:val="22"/>
              </w:rPr>
              <w:t>Pranav Gaddam</w:t>
            </w:r>
          </w:p>
          <w:p w14:paraId="1FC7D621" w14:textId="77777777" w:rsidR="001E6B92" w:rsidRDefault="00000000">
            <w:pPr>
              <w:spacing w:after="0"/>
              <w:jc w:val="center"/>
            </w:pPr>
            <w:r>
              <w:t>Reg. No. 240953548</w:t>
            </w:r>
          </w:p>
          <w:p w14:paraId="506E63D7" w14:textId="77777777" w:rsidR="001E6B92" w:rsidRDefault="00000000">
            <w:pPr>
              <w:spacing w:after="0"/>
              <w:jc w:val="center"/>
            </w:pPr>
            <w:r>
              <w:t>Roll No. 43</w:t>
            </w:r>
          </w:p>
        </w:tc>
        <w:tc>
          <w:tcPr>
            <w:tcW w:w="3480" w:type="dxa"/>
          </w:tcPr>
          <w:p w14:paraId="35F91442" w14:textId="77777777" w:rsidR="001E6B92" w:rsidRDefault="00000000">
            <w:pPr>
              <w:spacing w:after="40"/>
              <w:jc w:val="center"/>
            </w:pPr>
            <w:r>
              <w:rPr>
                <w:sz w:val="22"/>
              </w:rPr>
              <w:t>Shobit Hegde</w:t>
            </w:r>
          </w:p>
          <w:p w14:paraId="2F8B0A0F" w14:textId="77777777" w:rsidR="001E6B92" w:rsidRDefault="00000000">
            <w:pPr>
              <w:spacing w:after="0"/>
              <w:jc w:val="center"/>
            </w:pPr>
            <w:r>
              <w:t>Reg. No. 240953556</w:t>
            </w:r>
          </w:p>
          <w:p w14:paraId="040DB260" w14:textId="77777777" w:rsidR="001E6B92" w:rsidRDefault="00000000">
            <w:pPr>
              <w:spacing w:after="0"/>
              <w:jc w:val="center"/>
            </w:pPr>
            <w:r>
              <w:t>Roll No. 44</w:t>
            </w:r>
          </w:p>
        </w:tc>
      </w:tr>
    </w:tbl>
    <w:p w14:paraId="135D02FD" w14:textId="77777777" w:rsidR="001E6B92" w:rsidRDefault="00000000">
      <w:pPr>
        <w:spacing w:before="200" w:after="0" w:line="240" w:lineRule="auto"/>
        <w:jc w:val="center"/>
      </w:pPr>
      <w:r>
        <w:t>School of Computer Engineering</w:t>
      </w:r>
    </w:p>
    <w:p w14:paraId="72486BEA" w14:textId="77777777" w:rsidR="001E6B92" w:rsidRDefault="00000000">
      <w:pPr>
        <w:spacing w:after="0" w:line="240" w:lineRule="auto"/>
        <w:jc w:val="center"/>
      </w:pPr>
      <w:r>
        <w:t>Section CCE A</w:t>
      </w:r>
    </w:p>
    <w:p w14:paraId="5F60DF33" w14:textId="77777777" w:rsidR="001E6B92" w:rsidRDefault="00000000">
      <w:pPr>
        <w:spacing w:after="0" w:line="240" w:lineRule="auto"/>
        <w:jc w:val="center"/>
      </w:pPr>
      <w:r>
        <w:t>Manipal Institute of Technology, Manipal, India</w:t>
      </w:r>
    </w:p>
    <w:p w14:paraId="225F96A6" w14:textId="77777777" w:rsidR="001E6B92" w:rsidRDefault="001E6B92">
      <w:pPr>
        <w:spacing w:after="120" w:line="240" w:lineRule="auto"/>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w:t>
      </w:r>
      <w:r w:rsidR="00A07F9F" w:rsidRPr="00A07F9F">
        <w:t xml:space="preserve"> </w:t>
      </w:r>
      <w:r w:rsidR="00A07F9F" w:rsidRPr="00A07F9F">
        <w:rPr>
          <w:b/>
          <w:sz w:val="18"/>
        </w:rPr>
        <w:t xml:space="preserve">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is performed, using parabolic interpolation to obtain peak values, and log envelope damping estimation in the firmware. A decision tree, k-nearest neighbours, 5-8-4 neural network, health score and change detection algorithm are run. All algorithms were trained offline and converted into C code. The neural network achieved 93.8% accuracy (84.2% using a frequency rule) using 89 lab samples. These samples included a healthy state, extra mass, loose joints and loosened supports. The health score had an average error of 5.6 points, and the board and PC agreed on all 89 samples. Damping was used to detect loosened supports rather than frequency. Explainable SHM can be implemented in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r>
      <w:r>
        <w:tab/>
        <w:t>An experimental study on 89 recordings showing that the ML outperforms a frequency-only rule, that damping is the only usable indicator of support loosening,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Loose supports and loose bolted joints are among the most frequent problems in real structures. Gong et al. review the research on loosening of threaded fasteners and show that it is driven by slippage and friction at the thread and bearing contact surfaces [11]. A loosening joint therefore loses clamping stiffness and dissipates energy through friction at the contact interface, which shows up as changes in frequency and damping.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3 more</w:t>
            </w:r>
          </w:p>
        </w:tc>
        <w:tc>
          <w:tcPr>
            <w:tcW w:w="892" w:type="dxa"/>
            <w:tcBorders>
              <w:bottom w:val="single" w:sz="8" w:space="0" w:color="000000"/>
            </w:tcBorders>
          </w:tcPr>
          <w:p w14:paraId="1F5E954B" w14:textId="77777777" w:rsidR="001E6B92" w:rsidRDefault="00000000">
            <w:pPr>
              <w:spacing w:after="0"/>
            </w:pPr>
            <w:r>
              <w:rPr>
                <w:sz w:val="16"/>
              </w:rPr>
              <w:t>(89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 xml:space="preserve">The methodology used is shown in Fig. 1. Each labelled flick is stored on the board and then transferred to the laptop via UART. The laptop then uses the same 5 features as the board to train and cross-validate the models. Once trained, they are exported into a C header file (model.h) which is then compiled into the firmware. All new flicks are then classified using only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p>
      <w:pPr>
        <w:keepNext/>
        <w:spacing w:before="120" w:after="60"/>
        <w:jc w:val="center"/>
      </w:pPr>
      <w:r>
        <w:drawing>
          <wp:inline distT="0" distB="0" distL="0" distR="0" wp14:anchorId="022CEC13" wp14:editId="10694F80">
            <wp:extent cx="3108960" cy="147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3108960" cy="1476940"/>
                    </a:xfrm>
                    <a:prstGeom prst="rect">
                      <a:avLst/>
                    </a:prstGeom>
                  </pic:spPr>
                </pic:pic>
              </a:graphicData>
            </a:graphic>
          </wp:inline>
        </w:drawing>
      </w:r>
    </w:p>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p>
      <w:pPr>
        <w:keepNext/>
        <w:spacing w:before="120" w:after="60"/>
        <w:jc w:val="center"/>
      </w:pPr>
      <w:r>
        <w:drawing>
          <wp:inline distT="0" distB="0" distL="0" distR="0" wp14:anchorId="597EA90E" wp14:editId="6B285560">
            <wp:extent cx="3108960" cy="20434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3108960" cy="2043447"/>
                    </a:xfrm>
                    <a:prstGeom prst="rect">
                      <a:avLst/>
                    </a:prstGeom>
                  </pic:spPr>
                </pic:pic>
              </a:graphicData>
            </a:graphic>
          </wp:inline>
        </w:drawing>
      </w:r>
    </w:p>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3108960" cy="2152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3108960" cy="2152356"/>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the standardised features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68 stored training flicks; new examples can be added on the board in teach mode.</w:t>
      </w:r>
    </w:p>
    <w:p w14:paraId="6CA34788" w14:textId="77777777" w:rsidR="001E6B92" w:rsidRDefault="00000000">
      <w:pPr>
        <w:spacing w:after="0" w:line="240" w:lineRule="auto"/>
        <w:ind w:firstLine="288"/>
        <w:jc w:val="both"/>
      </w:pPr>
      <w:r>
        <w:rPr>
          <w:i/>
        </w:rPr>
        <w:t>Neural network</w:t>
      </w:r>
      <w:r>
        <w:t>: a 5-8-4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84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can be recalibrated on the board from ten healthy flicks (key C).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w:t>
      </w:r>
      <w:r w:rsidRPr="008D66B4">
        <w:t xml:space="preserve"> labelled on the laptop and stored with the raw sample data. The data set can be seen in Table II. Prior to each fault, a check was performed on the beam configuration to ensure it was identical to that of a healthy device. Any flicks that resulted in an incorrect overlap of 15 cm between the two rulers were discarded (24 in total). The first two steps corresponding to the loosening of the supports were also excluded from the training data set as the feature values were within the healthy range (Section IV-C). However, they were included in the hold-out test data along with five healthy verification flicks. The accuracy is calculated by using 5-fold stratified cross-validation repeated 5 times on the 68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w:t>
            </w:r>
          </w:p>
        </w:tc>
        <w:tc>
          <w:tcPr>
            <w:tcW w:w="890" w:type="dxa"/>
          </w:tcPr>
          <w:p w14:paraId="0CE51FA2" w14:textId="77777777" w:rsidR="001E6B92" w:rsidRDefault="00000000">
            <w:pPr>
              <w:keepNext/>
              <w:spacing w:after="0"/>
            </w:pPr>
            <w:r>
              <w:rPr>
                <w:sz w:val="16"/>
              </w:rPr>
              <w:t>4.74</w:t>
            </w:r>
          </w:p>
        </w:tc>
        <w:tc>
          <w:tcPr>
            <w:tcW w:w="942" w:type="dxa"/>
          </w:tcPr>
          <w:p w14:paraId="4CFB3A7B" w14:textId="77777777" w:rsidR="001E6B92" w:rsidRDefault="00000000">
            <w:pPr>
              <w:keepNext/>
              <w:spacing w:after="0"/>
            </w:pPr>
            <w:r>
              <w:rPr>
                <w:sz w:val="16"/>
              </w:rPr>
              <w:t>2.92</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w:t>
            </w:r>
          </w:p>
        </w:tc>
        <w:tc>
          <w:tcPr>
            <w:tcW w:w="890" w:type="dxa"/>
          </w:tcPr>
          <w:p w14:paraId="66E77D53" w14:textId="77777777" w:rsidR="001E6B92" w:rsidRDefault="00000000">
            <w:pPr>
              <w:keepNext/>
              <w:spacing w:after="0"/>
            </w:pPr>
            <w:r>
              <w:rPr>
                <w:sz w:val="16"/>
              </w:rPr>
              <w:t>3.68</w:t>
            </w:r>
          </w:p>
        </w:tc>
        <w:tc>
          <w:tcPr>
            <w:tcW w:w="942" w:type="dxa"/>
          </w:tcPr>
          <w:p w14:paraId="59BFBF94" w14:textId="77777777" w:rsidR="001E6B92" w:rsidRDefault="00000000">
            <w:pPr>
              <w:keepNext/>
              <w:spacing w:after="0"/>
            </w:pPr>
            <w:r>
              <w:rPr>
                <w:sz w:val="16"/>
              </w:rPr>
              <w:t>2.58</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w:t>
            </w:r>
          </w:p>
        </w:tc>
        <w:tc>
          <w:tcPr>
            <w:tcW w:w="890" w:type="dxa"/>
          </w:tcPr>
          <w:p w14:paraId="65071A82" w14:textId="77777777" w:rsidR="001E6B92" w:rsidRDefault="00000000">
            <w:pPr>
              <w:keepNext/>
              <w:spacing w:after="0"/>
            </w:pPr>
            <w:r>
              <w:rPr>
                <w:sz w:val="16"/>
              </w:rPr>
              <w:t>4.47</w:t>
            </w:r>
          </w:p>
        </w:tc>
        <w:tc>
          <w:tcPr>
            <w:tcW w:w="942" w:type="dxa"/>
          </w:tcPr>
          <w:p w14:paraId="5C90DCDE" w14:textId="77777777" w:rsidR="001E6B92" w:rsidRDefault="00000000">
            <w:pPr>
              <w:keepNext/>
              <w:spacing w:after="0"/>
            </w:pPr>
            <w:r>
              <w:rPr>
                <w:sz w:val="16"/>
              </w:rPr>
              <w:t>2.67</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w:t>
            </w:r>
          </w:p>
        </w:tc>
        <w:tc>
          <w:tcPr>
            <w:tcW w:w="890" w:type="dxa"/>
          </w:tcPr>
          <w:p w14:paraId="4C60C984" w14:textId="77777777" w:rsidR="001E6B92" w:rsidRDefault="00000000">
            <w:pPr>
              <w:keepNext/>
              <w:spacing w:after="0"/>
            </w:pPr>
            <w:r>
              <w:rPr>
                <w:sz w:val="16"/>
              </w:rPr>
              <w:t>4.45</w:t>
            </w:r>
          </w:p>
        </w:tc>
        <w:tc>
          <w:tcPr>
            <w:tcW w:w="942" w:type="dxa"/>
          </w:tcPr>
          <w:p w14:paraId="381FB5EE" w14:textId="77777777" w:rsidR="001E6B92" w:rsidRDefault="00000000">
            <w:pPr>
              <w:keepNext/>
              <w:spacing w:after="0"/>
            </w:pPr>
            <w:r>
              <w:rPr>
                <w:sz w:val="16"/>
              </w:rPr>
              <w:t>1.16</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Loose support 3/4 turn</w:t>
            </w:r>
          </w:p>
        </w:tc>
        <w:tc>
          <w:tcPr>
            <w:tcW w:w="778" w:type="dxa"/>
          </w:tcPr>
          <w:p w14:paraId="301117F7" w14:textId="77777777" w:rsidR="001E6B92" w:rsidRDefault="00000000">
            <w:pPr>
              <w:keepNext/>
              <w:spacing w:after="0"/>
            </w:pPr>
            <w:r>
              <w:rPr>
                <w:sz w:val="16"/>
              </w:rPr>
              <w:t>8</w:t>
            </w:r>
          </w:p>
        </w:tc>
        <w:tc>
          <w:tcPr>
            <w:tcW w:w="890" w:type="dxa"/>
          </w:tcPr>
          <w:p w14:paraId="1AD13E0B" w14:textId="77777777" w:rsidR="001E6B92" w:rsidRDefault="00000000">
            <w:pPr>
              <w:keepNext/>
              <w:spacing w:after="0"/>
            </w:pPr>
            <w:r>
              <w:rPr>
                <w:sz w:val="16"/>
              </w:rPr>
              <w:t>4.75</w:t>
            </w:r>
          </w:p>
        </w:tc>
        <w:tc>
          <w:tcPr>
            <w:tcW w:w="942" w:type="dxa"/>
          </w:tcPr>
          <w:p w14:paraId="6845E145" w14:textId="77777777" w:rsidR="001E6B92" w:rsidRDefault="00000000">
            <w:pPr>
              <w:keepNext/>
              <w:spacing w:after="0"/>
            </w:pPr>
            <w:r>
              <w:rPr>
                <w:sz w:val="16"/>
              </w:rPr>
              <w:t>3.45</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Loose support 1/4 turn</w:t>
            </w:r>
          </w:p>
        </w:tc>
        <w:tc>
          <w:tcPr>
            <w:tcW w:w="778" w:type="dxa"/>
          </w:tcPr>
          <w:p w14:paraId="00FDA058" w14:textId="77777777" w:rsidR="001E6B92" w:rsidRDefault="00000000">
            <w:pPr>
              <w:keepNext/>
              <w:spacing w:after="0"/>
            </w:pPr>
            <w:r>
              <w:rPr>
                <w:sz w:val="16"/>
              </w:rPr>
              <w:t>8</w:t>
            </w:r>
          </w:p>
        </w:tc>
        <w:tc>
          <w:tcPr>
            <w:tcW w:w="890" w:type="dxa"/>
          </w:tcPr>
          <w:p w14:paraId="1CFCF9C8" w14:textId="77777777" w:rsidR="001E6B92" w:rsidRDefault="00000000">
            <w:pPr>
              <w:keepNext/>
              <w:spacing w:after="0"/>
            </w:pPr>
            <w:r>
              <w:rPr>
                <w:sz w:val="16"/>
              </w:rPr>
              <w:t>4.71</w:t>
            </w:r>
          </w:p>
        </w:tc>
        <w:tc>
          <w:tcPr>
            <w:tcW w:w="942" w:type="dxa"/>
          </w:tcPr>
          <w:p w14:paraId="30072EC5" w14:textId="77777777" w:rsidR="001E6B92" w:rsidRDefault="00000000">
            <w:pPr>
              <w:keepNext/>
              <w:spacing w:after="0"/>
            </w:pPr>
            <w:r>
              <w:rPr>
                <w:sz w:val="16"/>
              </w:rPr>
              <w:t>3.26</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Loose support 1/2 turn</w:t>
            </w:r>
          </w:p>
        </w:tc>
        <w:tc>
          <w:tcPr>
            <w:tcW w:w="778" w:type="dxa"/>
          </w:tcPr>
          <w:p w14:paraId="0A563DBE" w14:textId="77777777" w:rsidR="001E6B92" w:rsidRDefault="00000000">
            <w:pPr>
              <w:keepNext/>
              <w:spacing w:after="0"/>
            </w:pPr>
            <w:r>
              <w:rPr>
                <w:sz w:val="16"/>
              </w:rPr>
              <w:t>8</w:t>
            </w:r>
          </w:p>
        </w:tc>
        <w:tc>
          <w:tcPr>
            <w:tcW w:w="890" w:type="dxa"/>
          </w:tcPr>
          <w:p w14:paraId="298B4DA2" w14:textId="77777777" w:rsidR="001E6B92" w:rsidRDefault="00000000">
            <w:pPr>
              <w:keepNext/>
              <w:spacing w:after="0"/>
            </w:pPr>
            <w:r>
              <w:rPr>
                <w:sz w:val="16"/>
              </w:rPr>
              <w:t>4.75</w:t>
            </w:r>
          </w:p>
        </w:tc>
        <w:tc>
          <w:tcPr>
            <w:tcW w:w="942" w:type="dxa"/>
          </w:tcPr>
          <w:p w14:paraId="602E0EC0" w14:textId="77777777" w:rsidR="001E6B92" w:rsidRDefault="00000000">
            <w:pPr>
              <w:keepNext/>
              <w:spacing w:after="0"/>
            </w:pPr>
            <w:r>
              <w:rPr>
                <w:sz w:val="16"/>
              </w:rPr>
              <w:t>3.13</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w:t>
            </w:r>
          </w:p>
        </w:tc>
        <w:tc>
          <w:tcPr>
            <w:tcW w:w="890" w:type="dxa"/>
          </w:tcPr>
          <w:p w14:paraId="5FE39187" w14:textId="77777777" w:rsidR="001E6B92" w:rsidRDefault="00000000">
            <w:pPr>
              <w:keepNext/>
              <w:spacing w:after="0"/>
            </w:pPr>
            <w:r>
              <w:rPr>
                <w:sz w:val="16"/>
              </w:rPr>
              <w:t>4.68</w:t>
            </w:r>
          </w:p>
        </w:tc>
        <w:tc>
          <w:tcPr>
            <w:tcW w:w="942" w:type="dxa"/>
          </w:tcPr>
          <w:p w14:paraId="3852C3FB" w14:textId="77777777" w:rsidR="001E6B92" w:rsidRDefault="00000000">
            <w:pPr>
              <w:keepNext/>
              <w:spacing w:after="0"/>
            </w:pPr>
            <w:r>
              <w:rPr>
                <w:sz w:val="16"/>
              </w:rPr>
              <w:t>2.95</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89</w:t>
            </w:r>
          </w:p>
        </w:tc>
        <w:tc>
          <w:tcPr>
            <w:tcW w:w="890" w:type="dxa"/>
            <w:tcBorders>
              <w:bottom w:val="single" w:sz="8" w:space="0" w:color="000000"/>
            </w:tcBorders>
          </w:tcPr>
          <w:p w14:paraId="5D26BC9C" w14:textId="77777777" w:rsidR="001E6B92" w:rsidRDefault="001E6B92">
            <w:pPr>
              <w:spacing w:after="0"/>
            </w:pPr>
          </w:p>
        </w:tc>
        <w:tc>
          <w:tcPr>
            <w:tcW w:w="942" w:type="dxa"/>
            <w:tcBorders>
              <w:bottom w:val="single" w:sz="8" w:space="0" w:color="000000"/>
            </w:tcBorders>
          </w:tcPr>
          <w:p w14:paraId="321E9BCB" w14:textId="77777777" w:rsidR="001E6B92" w:rsidRDefault="001E6B92">
            <w:pPr>
              <w:spacing w:after="0"/>
            </w:pPr>
          </w:p>
        </w:tc>
        <w:tc>
          <w:tcPr>
            <w:tcW w:w="890" w:type="dxa"/>
            <w:tcBorders>
              <w:bottom w:val="single" w:sz="8" w:space="0" w:color="000000"/>
            </w:tcBorders>
          </w:tcPr>
          <w:p w14:paraId="5B4B7C88" w14:textId="77777777" w:rsidR="001E6B92" w:rsidRDefault="001E6B92">
            <w:pPr>
              <w:spacing w:after="0"/>
            </w:pP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 xml:space="preserve">Fig. 8 shows the damping and frequency of each flick. The added mass reduced </w:t>
      </w:r>
      <w:r w:rsidRPr="00377C5E">
        <w:rPr>
          <w:i/>
        </w:rPr>
        <w:t xml:space="preserve">f</w:t>
      </w:r>
      <w:r w:rsidRPr="00377C5E">
        <w:rPr>
          <w:vertAlign w:val="subscript"/>
        </w:rPr>
        <w:t xml:space="preserve">1</w:t>
      </w:r>
      <w:r w:rsidRPr="00377C5E">
        <w:rPr/>
        <w:t xml:space="preserve"> by 22%, as predicted by (1). Removing clips decreased </w:t>
      </w:r>
      <w:r w:rsidRPr="00377C5E">
        <w:rPr>
          <w:i/>
        </w:rPr>
        <w:t xml:space="preserve">f</w:t>
      </w:r>
      <w:r w:rsidRPr="00377C5E">
        <w:rPr>
          <w:vertAlign w:val="subscript"/>
        </w:rPr>
        <w:t xml:space="preserve">1</w:t>
      </w:r>
      <w:r w:rsidRPr="00377C5E">
        <w:rPr/>
        <w:t xml:space="preserve"> by around 6% due to a loss of stiffness in the joint. Removing the second clip also decreased damping from 2.9% to 1.2%, because less friction remains at the overlap. When the support is loosened there is no change in </w:t>
      </w:r>
      <w:r w:rsidRPr="00377C5E">
        <w:rPr>
          <w:i/>
        </w:rPr>
        <w:t xml:space="preserve">f</w:t>
      </w:r>
      <w:r w:rsidRPr="00377C5E">
        <w:rPr>
          <w:vertAlign w:val="subscript"/>
        </w:rPr>
        <w:t xml:space="preserve">1</w:t>
      </w:r>
      <w:r w:rsidRPr="00377C5E">
        <w:rPr/>
        <w:t xml:space="preserve"> (4.75 Hz against 4.74 Hz), but damping increases because the loose end loses energy through friction. This matches the loosening literature [11]. This fault cannot be seen using frequency alone.</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 xml:space="preserve">Fig. 9 shows damping at each loosening step. At 1/4 and 1/2 turn the damping stays within the healthy range. For 3/4 turn every flick exceeds the maximum value found in the normal range by a median of +18%. The screw clamp also maintained a tight grip on the ruler until it was almost released, so the first two steps were below the detection threshold of this system. On these held-out flicks, the neural network labelled 4 of 8 and 3 of 8 as loose support. The change detector triggered once. This is consistent with the features being on the edge of the cluster of normal data.</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by 8 to 10 percentage points.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71% of its splits and damping for 27%, confirming that the gain comes from the damping feature. The confusion matrices in Fig. 11 </w:t>
      </w:r>
      <w:r>
        <w:lastRenderedPageBreak/>
        <w:t>show that most remaining errors are between healthy and loose support, the hardest pair. All five healthy re-check flicks were classified as healthy with no CHANGED alarm.</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sz w:val="16"/>
              </w:rPr>
              <w:t>84.2%</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sz w:val="16"/>
              </w:rPr>
              <w:t>92.4%</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sz w:val="16"/>
              </w:rPr>
              <w:t>92.1%</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5-8-4</w:t>
            </w:r>
          </w:p>
        </w:tc>
        <w:tc>
          <w:tcPr>
            <w:tcW w:w="1550" w:type="dxa"/>
            <w:tcBorders>
              <w:bottom w:val="single" w:sz="8" w:space="0" w:color="000000"/>
            </w:tcBorders>
          </w:tcPr>
          <w:p w14:paraId="1F4F7DAD" w14:textId="77777777" w:rsidR="001E6B92" w:rsidRDefault="00000000">
            <w:pPr>
              <w:spacing w:after="0"/>
            </w:pPr>
            <w:r>
              <w:rPr>
                <w:b/>
                <w:sz w:val="16"/>
              </w:rPr>
              <w:t>93.8%</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5.6 points, against 17.8 points for linear regression on the same features (Fig. 12).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 and reporting</w:t>
      </w:r>
    </w:p>
    <w:p w14:paraId="6F696923" w14:textId="26455B6C" w:rsidR="001E6B92" w:rsidRDefault="00442BBE">
      <w:pPr>
        <w:spacing w:after="0" w:line="240" w:lineRule="auto"/>
        <w:ind w:firstLine="288"/>
        <w:jc w:val="both"/>
      </w:pPr>
      <w:r w:rsidRPr="00442BBE">
        <w:t xml:space="preserve">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89 flicks on the PC and produced the same features and classifications as the Python reference implementation. Fig. 5 shows the board detecting a change and an unsafe health value during a fault test.</w:t>
      </w:r>
    </w:p>
    <w:p w14:paraId="6F696923" w14:textId="26455B6C" w:rsidR="001E6B92" w:rsidRDefault="00442BBE">
      <w:pPr>
        <w:spacing w:after="0" w:line="240" w:lineRule="auto"/>
        <w:ind w:firstLine="288"/>
        <w:jc w:val="both"/>
      </w:pPr>
      <w:r w:rsidRPr="00442BBE">
        <w:t xml:space="preserve">Finally, the laptop transmits the results for each condition (median frequency, damping, health status, predicted class, confidence, cross-validated accuracies and trend prediction) to a large language model (gpt-oss-120b using the Groq API and using Gemini as a fallback). The language model is then prompted to produce a brief inspection summary in simple English. The language model does not make any decisions; all numbers come directly from the measured table, and all detection and classification is performed by the models on the board. In our case, the report correctly identified loose joint 2 and the 3/4 turn support as being unsafe, and identified the added mass as being harmless. However, the confidence of the classifier was exaggerated for the first two steps of loosening. Therefore, the report should always be checked against the table.</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 xml:space="preserve">Each contribution is backed by a measured result. The assemble-only bench allowed repeatable results when checking the healthy flick. The frequency was found to have a difference of 0.06 Hz between the healthy check after all faults had been fixed (4.68 Hz) and the original frequency (4.74 Hz). All 5 healthy checks were found to be healthy. Using the interpolated FFT algorithm on the Cortex-M3 to calculate frequency gave an average error of 0.009 Hz against the reference frequency. This is less than a tenth of the 0.098 Hz bin width and three times better than taking the peak bin alone (0.027 Hz). This was achieved in 117 ms. Adding damping and 3 additional features to the model improved the accuracy of 4 classes from 84.2% (classical frequency method) to 93.8% (neural network). Damping alone showed that when support loosening occurred it did not affect the frequency but did increase damping by 18%. The kNN model gave a good prediction of the severity of damage with an average error of 5.6 points. All healthy flicks had a score above the unsafe level. The trend prediction shows that the unsafe point would occur within one step of the actual unsafe point. Exporting the models to C kept the same features and logic as Python, giving identical results on all 89 flicks, and everything fits in about 20 KB of flash memory. An honest upper limit was found during this experiment. A support loosening of less than about 3/4 turn could not be differentiated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 xml:space="preserve">This paper demonstrates that a full damage detection system using vibration data, producing a fault name, health value and trend prediction from raw acceleration data can be implemented on an entry-level ARM Cortex-M3 processor and low-cost MEMS accelerometer. The tool-free cantilever test rig gave an accuracy of 93.8% in distinguishing between healthy, added mass, loose joint and loose support cases, compared to 84.2% using the classical frequency shift rule. The health value had an average error of 5.6 points. The main conclusion was that damping, which is not considered by the frequency rule, was the only usable source of information regarding loose supports. All models fit within approximately 20 KB of flash memory and behave identically to the PC version. In the future the system will be improved by implementing a mechanical exciter, temperature compensation, higher modes from a second sensor and more data (over multiple days)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H. Gong, X. Ding, J. Liu and H. Feng, “Review of research on loosening of threaded fasteners,” </w:t>
      </w:r>
      <w:r>
        <w:rPr>
          <w:i/>
          <w:sz w:val="16"/>
        </w:rPr>
        <w:t>Friction</w:t>
      </w:r>
      <w:r>
        <w:rPr>
          <w:sz w:val="16"/>
        </w:rPr>
        <w:t>, vol. 10, no. 3, pp. 335–359, 2022, doi: 10.1007/s40544-021-0497-1.</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pair_setup.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pair_faults.jp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