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1B33"/>
          <w:sz w:val="40"/>
        </w:rPr>
        <w:t>Use Case Description of the Website — Relationship Advisor</w:t>
      </w:r>
    </w:p>
    <w:p>
      <w:r>
        <w:rPr>
          <w:i/>
          <w:color w:val="555555"/>
          <w:sz w:val="26"/>
        </w:rPr>
        <w:t>Alpha — Moonfare Private Markets Co-Pilot</w:t>
      </w:r>
    </w:p>
    <w:p>
      <w:r>
        <w:rPr>
          <w:color w:val="555555"/>
          <w:sz w:val="18"/>
        </w:rPr>
        <w:t>Source URL: https://petition-lining-jingle.ngrok-free.dev/   ·   Captured live by direct browser navigation and full-screen screenshots of every view.</w:t>
      </w:r>
    </w:p>
    <w:p/>
    <w:p>
      <w:pPr>
        <w:pStyle w:val="Heading1"/>
      </w:pPr>
      <w:r>
        <w:rPr>
          <w:color w:val="161B33"/>
        </w:rPr>
        <w:t>1. What this site is</w:t>
      </w:r>
    </w:p>
    <w:p>
      <w:pPr>
        <w:spacing w:after="120"/>
      </w:pPr>
      <w:r>
        <w:rPr>
          <w:b w:val="0"/>
          <w:i w:val="0"/>
        </w:rPr>
        <w:t>This is a single-page application served at one URL. There are no separately routed pages — what reads as "pages" are the nine numbered tabs of a logged-in investor analytics dashboard, wrapped in three pieces of persistent chrome: a top investor control bar, a left peer-filter rail, and a right AI ("Ask Alpha") panel.</w:t>
      </w:r>
    </w:p>
    <w:p>
      <w:pPr>
        <w:spacing w:after="120"/>
      </w:pPr>
      <w:r>
        <w:rPr>
          <w:b w:val="0"/>
          <w:i w:val="0"/>
        </w:rPr>
        <w:t>Product framing (from the title bar and splash): "Alpha · Moonfare Private Markets Co-Pilot" — an AI-augmented private-markets advisor. It runs a live peer-group engine over the Moonfare investor base, lets a user compare their portfolio against peers, the platform, house-view model portfolios, and the Harvard / Yale / Princeton endowments, and narrates any chart through a Claude-backed chat panel.</w:t>
      </w:r>
    </w:p>
    <w:p>
      <w:pPr>
        <w:spacing w:after="120"/>
      </w:pPr>
      <w:r>
        <w:rPr>
          <w:b w:val="0"/>
          <w:i w:val="0"/>
          <w:color w:val="555555"/>
        </w:rPr>
        <w:t>Visual identity: cream / off-white cards on a light-grey canvas, a near-black navy top bar, Moonfare's serif display headings, electric royal blue as the "You" accent, and brown / taupe for the peer / platform / model comparators.</w:t>
      </w:r>
    </w:p>
    <w:p>
      <w:pPr>
        <w:pStyle w:val="Heading1"/>
      </w:pPr>
      <w:r>
        <w:rPr>
          <w:color w:val="161B33"/>
        </w:rPr>
        <w:t>2. Entry splash (modal over the blurred dashboard)</w:t>
      </w:r>
    </w:p>
    <w:p>
      <w:pPr>
        <w:spacing w:after="120"/>
      </w:pPr>
      <w:r>
        <w:rPr>
          <w:b w:val="0"/>
          <w:i w:val="0"/>
        </w:rPr>
        <w:t>The first thing rendered is a centered cream card layered over a blurred preview of the live app.</w:t>
      </w:r>
    </w:p>
    <w:p>
      <w:pPr>
        <w:pStyle w:val="ListBullet"/>
      </w:pPr>
      <w:r>
        <w:t>Moonfare logo with a "CO-PILOT" eyebrow label.</w:t>
      </w:r>
    </w:p>
    <w:p>
      <w:pPr>
        <w:pStyle w:val="ListBullet"/>
      </w:pPr>
      <w:r>
        <w:t>H1: "Welcome to Alpha." Subtitle: "Your AI-augmented Private Markets advisor."</w:t>
      </w:r>
    </w:p>
    <w:p>
      <w:pPr>
        <w:pStyle w:val="ListBullet"/>
      </w:pPr>
      <w:r>
        <w:t>Body paragraph 1: a live peer-group engine over your investor base — compare against peers, the platform, house-view model portfolios, or Harvard / Yale / Princeton endowments.</w:t>
      </w:r>
    </w:p>
    <w:p>
      <w:pPr>
        <w:pStyle w:val="ListBullet"/>
      </w:pPr>
      <w:r>
        <w:t>Body paragraph 2: Ask Alpha for context on any chart — answers come from the live database via a logged-in Claude session.</w:t>
      </w:r>
    </w:p>
    <w:p>
      <w:pPr>
        <w:pStyle w:val="ListBullet"/>
      </w:pPr>
      <w:r>
        <w:t>Methodology disclaimer box (the framing repeated throughout the app): peer/platform figures are REAL export data; MODELLED, not measured = PM-target %, investable-wealth €, and the model portfolios (a Moonfare house view, unoptimised). Performance uses GP marks; young vintages are not ranked. "Informational only — not investment advice."</w:t>
      </w:r>
    </w:p>
    <w:p>
      <w:pPr>
        <w:pStyle w:val="ListBullet"/>
      </w:pPr>
      <w:r>
        <w:t>Footer line: "Production build · running on localhost · file-watcher live."</w:t>
      </w:r>
    </w:p>
    <w:p>
      <w:pPr>
        <w:pStyle w:val="ListBullet"/>
      </w:pPr>
      <w:r>
        <w:t>Primary CTA: "Enter Alpha →" (royal-blue pill) — dismisses the modal into the dashboard.</w:t>
      </w:r>
    </w:p>
    <w:p>
      <w:pPr>
        <w:pStyle w:val="Heading1"/>
      </w:pPr>
      <w:r>
        <w:rPr>
          <w:color w:val="161B33"/>
        </w:rPr>
        <w:t>3. Persistent chrome (present on all nine tabs)</w:t>
      </w:r>
    </w:p>
    <w:p>
      <w:pPr>
        <w:pStyle w:val="Heading3"/>
      </w:pPr>
      <w:r>
        <w:rPr>
          <w:color w:val="2E2CE6"/>
        </w:rPr>
        <w:t>3.1 Top bar (navy)</w:t>
      </w:r>
    </w:p>
    <w:p>
      <w:pPr>
        <w:spacing w:after="120"/>
      </w:pPr>
      <w:r>
        <w:rPr>
          <w:b w:val="0"/>
          <w:i w:val="0"/>
        </w:rPr>
        <w:t>Moonfare white logo + "· Alpha", then the active investor identity and the live control chips:</w:t>
      </w:r>
    </w:p>
    <w:p>
      <w:pPr>
        <w:pStyle w:val="ListBullet"/>
      </w:pPr>
      <w:r>
        <w:t>You: Dr. Steffen Pauls · Financial Services (profession) · 65 (age) · €15M Investable.</w:t>
      </w:r>
    </w:p>
    <w:p>
      <w:pPr>
        <w:pStyle w:val="ListBullet"/>
      </w:pPr>
      <w:r>
        <w:t>Target % slider — range 5–100; here set to 15%, labelled "modelled".</w:t>
      </w:r>
    </w:p>
    <w:p>
      <w:pPr>
        <w:pStyle w:val="ListBullet"/>
      </w:pPr>
      <w:r>
        <w:t>Risk dropdown: Income &amp; Resilience / Balanced Compounding (selected) / Equity Growth / Innovation &amp; AI Alpha / Opportunistic.</w:t>
      </w:r>
    </w:p>
    <w:p>
      <w:pPr>
        <w:pStyle w:val="ListBullet"/>
      </w:pPr>
      <w:r>
        <w:t>Horizon dropdown: 1–3y / 3–5y / 5–10y (selected) / 10y+.</w:t>
      </w:r>
    </w:p>
    <w:p>
      <w:pPr>
        <w:pStyle w:val="ListBullet"/>
      </w:pPr>
      <w:r>
        <w:t>Rotate investor button — tooltip: "Switch to another real investor (identity stays masked) — shows the tool works for any investor".</w:t>
      </w:r>
    </w:p>
    <w:p>
      <w:pPr>
        <w:pStyle w:val="ListBullet"/>
      </w:pPr>
      <w:r>
        <w:t>PDF ↓ (export the report), ↻ DB (force-refresh the database from data/ files), and an "SP" avatar chip.</w:t>
      </w:r>
    </w:p>
    <w:p>
      <w:pPr>
        <w:pStyle w:val="Heading3"/>
      </w:pPr>
      <w:r>
        <w:rPr>
          <w:color w:val="2E2CE6"/>
        </w:rPr>
        <w:t>3.2 Left rail — "COMPARE AGAINST / My Peers"</w:t>
      </w:r>
    </w:p>
    <w:p>
      <w:pPr>
        <w:spacing w:after="120"/>
      </w:pPr>
      <w:r>
        <w:rPr>
          <w:b w:val="0"/>
          <w:i w:val="0"/>
        </w:rPr>
        <w:t>A live peer-cohort filter (collapsible via "‹") that recomputes the comparison set; a footer shows the resulting cohort size ("Peers: n = 1,800 · of 1,800 total"). Collapsible filter groups and their options:</w:t>
      </w:r>
    </w:p>
    <w:p>
      <w:pPr>
        <w:pStyle w:val="ListBullet"/>
      </w:pPr>
      <w:r>
        <w:rPr>
          <w:b/>
        </w:rPr>
        <w:t xml:space="preserve">Age bucket: </w:t>
      </w:r>
      <w:r>
        <w:t>20-35 / 35-50 / 50-65 / 65+</w:t>
      </w:r>
    </w:p>
    <w:p>
      <w:pPr>
        <w:pStyle w:val="ListBullet"/>
      </w:pPr>
      <w:r>
        <w:rPr>
          <w:b/>
        </w:rPr>
        <w:t xml:space="preserve">Family situation (optional): </w:t>
      </w:r>
      <w:r>
        <w:t>Married / Single / Divorced / Widowed · None / Teen / Adult (children)</w:t>
      </w:r>
    </w:p>
    <w:p>
      <w:pPr>
        <w:pStyle w:val="ListBullet"/>
      </w:pPr>
      <w:r>
        <w:rPr>
          <w:b/>
        </w:rPr>
        <w:t xml:space="preserve">Wealth: </w:t>
      </w:r>
      <w:r>
        <w:t>1-5M / 5-25M / 25-100M / 100M+</w:t>
      </w:r>
    </w:p>
    <w:p>
      <w:pPr>
        <w:pStyle w:val="ListBullet"/>
      </w:pPr>
      <w:r>
        <w:rPr>
          <w:b/>
        </w:rPr>
        <w:t xml:space="preserve">Risk appetite (PM): </w:t>
      </w:r>
      <w:r>
        <w:t>Income &amp; Resilience / Balanced Compounding / Equity Growth / Innovation &amp; AI Alpha / Opportunistic</w:t>
      </w:r>
    </w:p>
    <w:p>
      <w:pPr>
        <w:pStyle w:val="ListBullet"/>
      </w:pPr>
      <w:r>
        <w:rPr>
          <w:b/>
        </w:rPr>
        <w:t xml:space="preserve">Region (multi): </w:t>
      </w:r>
      <w:r>
        <w:t>All / DACH / UK / N-Europe / S-Europe / Middle East / US/CA / Asia / RoW</w:t>
      </w:r>
    </w:p>
    <w:p>
      <w:pPr>
        <w:pStyle w:val="ListBullet"/>
      </w:pPr>
      <w:r>
        <w:rPr>
          <w:b/>
        </w:rPr>
        <w:t xml:space="preserve">Profession: </w:t>
      </w:r>
      <w:r>
        <w:t>Consulting / Eng-Tech / Exec-Owner / Financial Services / Investor-PE / Legal / Medical / Family Office / Pro Services / Other</w:t>
      </w:r>
    </w:p>
    <w:p>
      <w:pPr>
        <w:pStyle w:val="ListBullet"/>
      </w:pPr>
      <w:r>
        <w:rPr>
          <w:b/>
        </w:rPr>
        <w:t xml:space="preserve">Performance benchmark: </w:t>
      </w:r>
      <w:r>
        <w:t>Peers / Top 10%</w:t>
      </w:r>
    </w:p>
    <w:p>
      <w:pPr>
        <w:pStyle w:val="ListBullet"/>
      </w:pPr>
      <w:r>
        <w:rPr>
          <w:b/>
        </w:rPr>
        <w:t xml:space="preserve">Follow: </w:t>
      </w:r>
      <w:r>
        <w:t>Peer avg / All / Top 10%</w:t>
      </w:r>
    </w:p>
    <w:p>
      <w:pPr>
        <w:pStyle w:val="Heading3"/>
      </w:pPr>
      <w:r>
        <w:rPr>
          <w:color w:val="2E2CE6"/>
        </w:rPr>
        <w:t>3.3 Right rail — "Ask Alpha" (live · Claude CLI)</w:t>
      </w:r>
    </w:p>
    <w:p>
      <w:pPr>
        <w:spacing w:after="120"/>
      </w:pPr>
      <w:r>
        <w:rPr>
          <w:b w:val="0"/>
          <w:i w:val="0"/>
        </w:rPr>
        <w:t>A collapsible chat panel (toggle "›"). Header "Ask Alpha anything"; subtitle "Live answers grounded in your real portfolio, your peer group, and the Moonfare house view." It exposes four canned prompt buttons, a free-text "Ask Alpha…" box, and a Send button. Per the UI label it is wired to a logged-in Claude CLI session querying the live DB.</w:t>
      </w:r>
    </w:p>
    <w:p>
      <w:pPr>
        <w:spacing w:after="40"/>
      </w:pPr>
      <w:r>
        <w:rPr>
          <w:b/>
          <w:i w:val="0"/>
        </w:rPr>
        <w:t>Canned prompts:</w:t>
      </w:r>
    </w:p>
    <w:p>
      <w:pPr>
        <w:pStyle w:val="ListBullet"/>
      </w:pPr>
      <w:r>
        <w:t>"Why am I underweight Buyout vs my peers?"</w:t>
      </w:r>
    </w:p>
    <w:p>
      <w:pPr>
        <w:pStyle w:val="ListBullet"/>
      </w:pPr>
      <w:r>
        <w:t>"How do I compare to the Balanced model?"</w:t>
      </w:r>
    </w:p>
    <w:p>
      <w:pPr>
        <w:pStyle w:val="ListBullet"/>
      </w:pPr>
      <w:r>
        <w:t>"Which open funds close my biggest gaps?"</w:t>
      </w:r>
    </w:p>
    <w:p>
      <w:pPr>
        <w:pStyle w:val="ListBullet"/>
      </w:pPr>
      <w:r>
        <w:t>"What is my total AI exposure?"</w:t>
      </w:r>
    </w:p>
    <w:p>
      <w:pPr>
        <w:pStyle w:val="Heading3"/>
      </w:pPr>
      <w:r>
        <w:rPr>
          <w:color w:val="2E2CE6"/>
        </w:rPr>
        <w:t>3.4 Tab navigation (sticky)</w:t>
      </w:r>
    </w:p>
    <w:p>
      <w:pPr>
        <w:spacing w:after="120"/>
      </w:pPr>
      <w:r>
        <w:rPr>
          <w:b w:val="0"/>
          <w:i w:val="0"/>
        </w:rPr>
        <w:t>1 · Overview   |   2 · Region   |   3 · Format   |   4 · Strategy deep-dive   |   5 · Sector tree-map   |   6 · Performance   |   7 · Vintage   |   8 · Follower   |   9 · What's next</w:t>
      </w:r>
    </w:p>
    <w:p>
      <w:pPr>
        <w:pStyle w:val="Heading1"/>
      </w:pPr>
      <w:r>
        <w:rPr>
          <w:color w:val="161B33"/>
        </w:rPr>
        <w:t>4. The nine tabs (described in detail)</w:t>
      </w:r>
    </w:p>
    <w:p>
      <w:pPr>
        <w:pStyle w:val="Heading2"/>
      </w:pPr>
      <w:r>
        <w:rPr>
          <w:color w:val="161B33"/>
        </w:rPr>
        <w:t>Page 1 — Overview ("Overall asset allocation")</w:t>
      </w:r>
    </w:p>
    <w:p>
      <w:pPr>
        <w:spacing w:after="120"/>
      </w:pPr>
      <w:r>
        <w:rPr>
          <w:b w:val="0"/>
          <w:i/>
        </w:rPr>
        <w:t>Subtitle: PM allocation · Fill rate · Strategy mix (toggle: You / Peer / Platform / Model) · Benchmark comparison (Endowment or Moonfare Model).</w:t>
      </w:r>
    </w:p>
    <w:p>
      <w:pPr>
        <w:pStyle w:val="ListBullet"/>
      </w:pPr>
      <w:r>
        <w:t>AI / IT look-through banner: toggle between "Dedicated AI sleeve: 0%" and "Economic IT/AI look-through 0%" — "Real GICS Information-Technology look-through (AI upper-bound proxy) · coverage 1% of NAV."</w:t>
      </w:r>
    </w:p>
    <w:p>
      <w:pPr>
        <w:pStyle w:val="ListBullet"/>
      </w:pPr>
      <w:r>
        <w:t>Card — Private Markets allocation (% of investable wealth · actual). Horizontal bars: You · actual 4.8%; Peers · actual 3.9%; Platform · actual 3.9%; Model · target 15.0%. Caption: actual = real commitment ÷ a modelled wealth band; "Model · target" is the house-view target, not advice.</w:t>
      </w:r>
    </w:p>
    <w:p>
      <w:pPr>
        <w:pStyle w:val="ListBullet"/>
      </w:pPr>
      <w:r>
        <w:t>Card — Fill rate (deployment vs target). Stacked Filled / Remaining bars: You (of 15% target) 32.3% filled / 67.7% remaining; Peers 18% / 82%; Platform avg 18% / 82%; Moonfare Model target 100%. Caption flags the target is modelled, so fill-rate is illustrative.</w:t>
      </w:r>
    </w:p>
    <w:p>
      <w:pPr>
        <w:pStyle w:val="ListBullet"/>
      </w:pPr>
      <w:r>
        <w:t>Card — Strategy mix · You vs Peer average. Two donuts side by side. YOUR portfolio (fixed): Growth/Tech 79.3%, Infrastructure 13.6%, Mid-Cap BO 4.0%, Large-Cap BO 3.1%, Small-Cap BO 0%. The comparison donut changes via a selector: Peers / Platform avg / Model (Balanced Compounding) / Harvard / Yale / Princeton / H+Y+P aggregate. Peer-avg shown: Large-Cap BO 31.5%, Growth/Tech 40.7%, Private Credit 23.3%, Infrastructure 2.6%, Secondaries 1.9%.</w:t>
      </w:r>
    </w:p>
    <w:p>
      <w:pPr>
        <w:pStyle w:val="ListBullet"/>
      </w:pPr>
      <w:r>
        <w:t>Card — Strategy · over/under-weight vs Peer average. A diverging "Z-chart" (You minus comparison, in ppts) driven by the same selector: Large-Cap Buyout −28.4; Mid-Cap Buyout −36.7; Infrastructure +11.0; Growth/Tech +56.0; Secondaries −1.9.</w:t>
      </w:r>
    </w:p>
    <w:p>
      <w:pPr>
        <w:pStyle w:val="Heading2"/>
      </w:pPr>
      <w:r>
        <w:rPr>
          <w:color w:val="161B33"/>
        </w:rPr>
        <w:t>Page 2 — Region ("Regional distribution")</w:t>
      </w:r>
    </w:p>
    <w:p>
      <w:pPr>
        <w:spacing w:after="120"/>
      </w:pPr>
      <w:r>
        <w:rPr>
          <w:b w:val="0"/>
          <w:i/>
        </w:rPr>
        <w:t>Subtitle: Pie + over/under-weight Z-Chart. Toggle the pie between Your portfolio and the Peers.</w:t>
      </w:r>
    </w:p>
    <w:p>
      <w:pPr>
        <w:pStyle w:val="ListBullet"/>
      </w:pPr>
      <w:r>
        <w:t>Regional pie with a You / Peer / Platform toggle. Your split: US 0.0%, Europe 11.4%, Asia 88.6%, RoW 0.0% (a deliberately Asia-skewed sample investor).</w:t>
      </w:r>
    </w:p>
    <w:p>
      <w:pPr>
        <w:pStyle w:val="ListBullet"/>
      </w:pPr>
      <w:r>
        <w:t>Region · over/under-weight (Peer or Platform toggle), in ppts: US −24.2; Europe −35.6; Asia +65.8; RoW −6.1.</w:t>
      </w:r>
    </w:p>
    <w:p>
      <w:pPr>
        <w:pStyle w:val="Heading2"/>
      </w:pPr>
      <w:r>
        <w:rPr>
          <w:color w:val="161B33"/>
        </w:rPr>
        <w:t>Page 3 — Format ("Investment format")</w:t>
      </w:r>
    </w:p>
    <w:p>
      <w:pPr>
        <w:spacing w:after="120"/>
      </w:pPr>
      <w:r>
        <w:rPr>
          <w:b w:val="0"/>
          <w:i/>
        </w:rPr>
        <w:t>Subtitle: Pie of investment formats (Primary / Secondary / Direct &amp; Co / Fund of Fund / Evergreen). Toggle the pie between You and the Peers.</w:t>
      </w:r>
    </w:p>
    <w:p>
      <w:pPr>
        <w:pStyle w:val="ListBullet"/>
      </w:pPr>
      <w:r>
        <w:t>Format split donut (You / Peer toggle, % of total Private-Markets exposure): this investor is Primary 100.0%.</w:t>
      </w:r>
    </w:p>
    <w:p>
      <w:pPr>
        <w:pStyle w:val="ListBullet"/>
      </w:pPr>
      <w:r>
        <w:t>Format · over/under-weight (Peer / Platform toggle); bar colors match the pie: Primary +17.0 ppts vs peers.</w:t>
      </w:r>
    </w:p>
    <w:p>
      <w:pPr>
        <w:pStyle w:val="Heading2"/>
      </w:pPr>
      <w:r>
        <w:rPr>
          <w:color w:val="161B33"/>
        </w:rPr>
        <w:t>Page 4 — Strategy deep-dive</w:t>
      </w:r>
    </w:p>
    <w:p>
      <w:pPr>
        <w:spacing w:after="120"/>
      </w:pPr>
      <w:r>
        <w:rPr>
          <w:b w:val="0"/>
          <w:i/>
        </w:rPr>
        <w:t>Subtitle: Left: your overall strategy mix. Click any slice to drill into your funds in that strategy on the right — and compare against what peers or the platform hold in that same asset class.</w:t>
      </w:r>
    </w:p>
    <w:p>
      <w:pPr>
        <w:pStyle w:val="ListBullet"/>
      </w:pPr>
      <w:r>
        <w:t>Left donut "Your strategy mix" (clickable slices; same palette/legend as Page 1): Growth/Tech 79.3%, Infrastructure 13.6%, Mid-Cap BO 4.0%, Large-Cap BO 3.1%, all others 0%.</w:t>
      </w:r>
    </w:p>
    <w:p>
      <w:pPr>
        <w:pStyle w:val="ListBullet"/>
      </w:pPr>
      <w:r>
        <w:t>Right drill-down panel (Peer / Platform toggle). Current selection "Large-Cap Buyout · your funds vs peers": YOUR HOLDINGS = "0 funds · Large-Cap Buyout / You hold nothing in this strategy yet." PEER · TOP FUNDS (2 weighted): Feeder Pin… 53.5%, Feeder Key… 46.5%, shown with weight bars.</w:t>
      </w:r>
    </w:p>
    <w:p>
      <w:pPr>
        <w:pStyle w:val="Heading2"/>
      </w:pPr>
      <w:r>
        <w:rPr>
          <w:color w:val="161B33"/>
        </w:rPr>
        <w:t>Page 5 — Sector tree-map ("Sector look-through")</w:t>
      </w:r>
    </w:p>
    <w:p>
      <w:pPr>
        <w:spacing w:after="120"/>
      </w:pPr>
      <w:r>
        <w:rPr>
          <w:b w:val="0"/>
          <w:i/>
        </w:rPr>
        <w:t>Subtitle: Toggle drives BOTH tree-maps and the Z-chart. Left = YOUR sector mix; right = the selected peer group's sector mix; Z-chart = the delta.</w:t>
      </w:r>
    </w:p>
    <w:p>
      <w:pPr>
        <w:pStyle w:val="ListBullet"/>
      </w:pPr>
      <w:r>
        <w:t>Your exposure tree-map: tiles sized by your share — Energy 64.4%, Other 31.0% (heavily energy-concentrated).</w:t>
      </w:r>
    </w:p>
    <w:p>
      <w:pPr>
        <w:pStyle w:val="ListBullet"/>
      </w:pPr>
      <w:r>
        <w:t>Peers exposure tree-map (Peer / Platform toggle); each tile annotated with its ppt delta vs you: Other 22.7% (+8.3), Energy 14.9% (+49.5), Industrials 12.5% (−12.5), Consumer 13.7% (−13.7), Tech 11.8% (−11.8), Healthcare 9.4% (−9.4), Financials 7.6% (−7.6), AI 3.2% (−3.2), Defense 0.7% (−0.7).</w:t>
      </w:r>
    </w:p>
    <w:p>
      <w:pPr>
        <w:pStyle w:val="ListBullet"/>
      </w:pPr>
      <w:r>
        <w:t>Sector · over/under-weight vs Peers — horizontal Z-bar chart restating those deltas (Energy +49.5 dominant positive; Consumer, Industrials, Tech, Healthcare, Financial negative).</w:t>
      </w:r>
    </w:p>
    <w:p>
      <w:pPr>
        <w:pStyle w:val="Heading2"/>
      </w:pPr>
      <w:r>
        <w:rPr>
          <w:color w:val="161B33"/>
        </w:rPr>
        <w:t>Page 6 — Performance ("Performance benchmark")</w:t>
      </w:r>
    </w:p>
    <w:p>
      <w:pPr>
        <w:spacing w:after="120"/>
      </w:pPr>
      <w:r>
        <w:rPr>
          <w:b w:val="0"/>
          <w:i/>
        </w:rPr>
        <w:t>Subtitle: Big number on top, You vs Peer avg vs Platform underneath. Two toggles: Peers / Platform avg and Average / Top 10%. Three metric cards, each a hero number + a You/Peer/Platform bar trio (GP-marked, unrealised).</w:t>
      </w:r>
    </w:p>
    <w:p>
      <w:pPr>
        <w:pStyle w:val="ListBullet"/>
      </w:pPr>
      <w:r>
        <w:t>DPI (distributions / paid-in): 0.14 — "199% of Peer avg" — You 0.14, Peer 0.07, Platform 0.10.</w:t>
      </w:r>
    </w:p>
    <w:p>
      <w:pPr>
        <w:pStyle w:val="ListBullet"/>
      </w:pPr>
      <w:r>
        <w:t>MOIC (total value / money invested): 1.20x — "106% of Peer avg" — You 1.20x, Peer 1.13x, Platform 1.13x.</w:t>
      </w:r>
    </w:p>
    <w:p>
      <w:pPr>
        <w:pStyle w:val="ListBullet"/>
      </w:pPr>
      <w:r>
        <w:t>IRR: 1.7% with a caution box — "Too early to rank — most funds are &lt;4yr vintage; IRR is J-curve-distorted and GP-marked. Use DPI (realised) for comparison." You 1.7%, Peer 5.5%, Platform 5.0%.</w:t>
      </w:r>
    </w:p>
    <w:p>
      <w:pPr>
        <w:pStyle w:val="Heading2"/>
      </w:pPr>
      <w:r>
        <w:rPr>
          <w:color w:val="161B33"/>
        </w:rPr>
        <w:t>Page 7 — Vintage ("Vintage distribution")</w:t>
      </w:r>
    </w:p>
    <w:p>
      <w:pPr>
        <w:spacing w:after="120"/>
      </w:pPr>
      <w:r>
        <w:rPr>
          <w:b w:val="0"/>
          <w:i/>
        </w:rPr>
        <w:t>Subtitle: Share of commitments by vintage year — You vs Peers vs Platform average. Compare your pacing against both.</w:t>
      </w:r>
    </w:p>
    <w:p>
      <w:pPr>
        <w:pStyle w:val="ListBullet"/>
      </w:pPr>
      <w:r>
        <w:t>A grouped (triplet) bar chart per year 2016 → 2025, legend You / Peer / Platform. This investor's commitments are nearly all in 2020 (94.1%) with a sliver in 2017 (5.1%) — versus peer/platform commitments spread fairly evenly (~35–50% platform share each year). Reveals concentrated, lagging pacing.</w:t>
      </w:r>
    </w:p>
    <w:p>
      <w:pPr>
        <w:pStyle w:val="Heading2"/>
      </w:pPr>
      <w:r>
        <w:rPr>
          <w:color w:val="161B33"/>
        </w:rPr>
        <w:t>Page 8 — Follower function</w:t>
      </w:r>
    </w:p>
    <w:p>
      <w:pPr>
        <w:spacing w:after="120"/>
      </w:pPr>
      <w:r>
        <w:rPr>
          <w:b w:val="0"/>
          <w:i/>
        </w:rPr>
        <w:t>Subtitle: The Moonfare push notification fires the moment a peer in your peer group commits to a fund that closes one of your model gaps. Lock screen + home screen — exactly as it lands on the user's phone.</w:t>
      </w:r>
    </w:p>
    <w:p>
      <w:pPr>
        <w:pStyle w:val="ListBullet"/>
      </w:pPr>
      <w:r>
        <w:t>Two iPhone mockups (clock "9:41", Friday June 14): a Lock screen and a Home screen banner, both showing a Moonfare push — "Private Credit is open — Your Private Credit allocation is 18pp below your modelled target… Ares is a currently-open Private Credit fund on Moonfare."</w:t>
      </w:r>
    </w:p>
    <w:p>
      <w:pPr>
        <w:pStyle w:val="ListBullet"/>
      </w:pPr>
      <w:r>
        <w:t>Right column — How it works: "Peer-triggered, gap-targeted." The push fires within minutes when peer-group investors commit capital to a gap-closing fund (not at quarter-end). A "Current trigger" card restates the Private Credit alert; "Follow group" = "Peer average — change in the peer group panel → Follow."</w:t>
      </w:r>
    </w:p>
    <w:p>
      <w:pPr>
        <w:pStyle w:val="Heading2"/>
      </w:pPr>
      <w:r>
        <w:rPr>
          <w:color w:val="161B33"/>
        </w:rPr>
        <w:t>Page 9 — What's next ("Investment opportunities")</w:t>
      </w:r>
    </w:p>
    <w:p>
      <w:pPr>
        <w:spacing w:after="120"/>
      </w:pPr>
      <w:r>
        <w:rPr>
          <w:b w:val="0"/>
          <w:i/>
        </w:rPr>
        <w:t>Subtitle: Live Moonfare opportunities, ranked by how well each one closes the gap between your current allocation and your assigned model portfolio.</w:t>
      </w:r>
    </w:p>
    <w:p>
      <w:pPr>
        <w:spacing w:after="120"/>
      </w:pPr>
      <w:r>
        <w:rPr>
          <w:b w:val="0"/>
          <w:i w:val="0"/>
        </w:rPr>
        <w:t>A ranked fund feed; each card has a thumbnail + manager logo, a status pill (Open / Waitlist), a green "Closes X ppt gap" badge, a strategy tag, a region tag, a minimum ticket, and a "Select fund" button. Ranked top → bottom by gap-closing fit:</w:t>
      </w:r>
    </w:p>
    <w:p>
      <w:pPr>
        <w:pStyle w:val="ListBullet"/>
      </w:pPr>
      <w:r>
        <w:t>CVC-CRED European Private Credit — Private Credit — closes 18.0 ppt — min €25,000 — Open</w:t>
      </w:r>
    </w:p>
    <w:p>
      <w:pPr>
        <w:pStyle w:val="ListBullet"/>
      </w:pPr>
      <w:r>
        <w:t>EQT XI — Mid-Cap Buyout — 14.0 ppt — €100,000 — Open</w:t>
      </w:r>
    </w:p>
    <w:p>
      <w:pPr>
        <w:pStyle w:val="ListBullet"/>
      </w:pPr>
      <w:r>
        <w:t>Kingswood Capital Opportunities Fund IV — Mid-Cap Buyout — 14.0 ppt — €250,000 — Waitlist</w:t>
      </w:r>
    </w:p>
    <w:p>
      <w:pPr>
        <w:pStyle w:val="ListBullet"/>
      </w:pPr>
      <w:r>
        <w:t>Moonfare Secondary Fund — Secondaries — 12.0 ppt — €25,000 — Open</w:t>
      </w:r>
    </w:p>
    <w:p>
      <w:pPr>
        <w:pStyle w:val="ListBullet"/>
      </w:pPr>
      <w:r>
        <w:t>Lexington Capital Partners XI — Secondaries — 12.0 ppt — €125,000 — Waitlist</w:t>
      </w:r>
    </w:p>
    <w:p>
      <w:pPr>
        <w:pStyle w:val="ListBullet"/>
      </w:pPr>
      <w:r>
        <w:t>CVC-PE Global Private Equity — Large-Cap Buyout — 11.9 ppt — €25,000 — Open</w:t>
      </w:r>
    </w:p>
    <w:p>
      <w:pPr>
        <w:pStyle w:val="ListBullet"/>
      </w:pPr>
      <w:r>
        <w:t>Leonard Green – Green Equity Investors X — Large-Cap Buyout — 11.9 ppt — €125,000 — Waitlist</w:t>
      </w:r>
    </w:p>
    <w:p>
      <w:pPr>
        <w:pStyle w:val="ListBullet"/>
      </w:pPr>
      <w:r>
        <w:t>Qualitas Energy Fund VI — Infrastructure — 1.4 ppt — €100,000 — Open</w:t>
      </w:r>
    </w:p>
    <w:p>
      <w:pPr>
        <w:pStyle w:val="ListBullet"/>
      </w:pPr>
      <w:r>
        <w:t>Moonfare Technology Fund — Growth/Tech — (no gap badge) — €100,000 — Open</w:t>
      </w:r>
    </w:p>
    <w:p>
      <w:pPr>
        <w:pStyle w:val="ListBullet"/>
      </w:pPr>
      <w:r>
        <w:t>Right column — interactive sandbox: "Your selection" ("No funds selected yet. Pick from the feed →") and "Portfolio impact" ("Select a fund to see how your composition changes."). The subtitle promises a capital slider that recomputes the portfolio composition live as funds are selected.</w:t>
      </w:r>
    </w:p>
    <w:p>
      <w:pPr>
        <w:pStyle w:val="Heading1"/>
      </w:pPr>
      <w:r>
        <w:rPr>
          <w:color w:val="161B33"/>
        </w:rPr>
        <w:t>5. Architecture summary</w:t>
      </w:r>
    </w:p>
    <w:p>
      <w:pPr>
        <w:spacing w:after="120"/>
      </w:pPr>
      <w:r>
        <w:rPr>
          <w:b w:val="0"/>
          <w:i w:val="0"/>
        </w:rPr>
        <w:t>One investor — here Dr. Steffen Pauls, an intentionally extreme sample (Asia-heavy, energy-concentrated, 100% primary, single-vintage) — viewed through nine analytic lenses. Every chart re-renders against a live, filterable peer cohort, with three benchmark families (peers / platform / Moonfare model + Ivy endowments), a phone-push "follower" demo, and a gap-ranked fund marketplace — all narratable through the Claude-backed "Ask Alpha" side panel. The interface disclaims "real data vs modelled assumption" consistently throughout.</w:t>
      </w:r>
    </w:p>
    <w:p>
      <w:pPr>
        <w:spacing w:after="120"/>
      </w:pPr>
      <w:r>
        <w:rPr>
          <w:b w:val="0"/>
          <w:i/>
          <w:color w:val="555555"/>
        </w:rPr>
        <w:t>Caveat: every figure in this document is what the UI rendered for this one loaded investor at the moment of capture. "Rotate investor" and the cohort filters change all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