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chart4.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E42C6" w14:textId="77777777" w:rsidR="00B14A04" w:rsidRDefault="00F303B6" w:rsidP="00E82A76">
      <w:pPr>
        <w:jc w:val="both"/>
        <w:rPr>
          <w:rFonts w:ascii="Times New Roman" w:hAnsi="Times New Roman" w:cs="Times New Roman"/>
          <w:sz w:val="24"/>
          <w:szCs w:val="24"/>
        </w:rPr>
      </w:pPr>
      <w:r w:rsidRPr="00D643CD">
        <w:rPr>
          <w:rFonts w:ascii="Times New Roman" w:hAnsi="Times New Roman" w:cs="Times New Roman"/>
          <w:sz w:val="24"/>
          <w:szCs w:val="24"/>
        </w:rPr>
        <w:t>Project Report: Analysis of U.S. Births (1994–2003)</w:t>
      </w:r>
    </w:p>
    <w:p w14:paraId="18387BF0" w14:textId="6885DB63" w:rsidR="00F303B6" w:rsidRPr="00B14A04" w:rsidRDefault="00F303B6" w:rsidP="00E82A76">
      <w:pPr>
        <w:pStyle w:val="ListParagraph"/>
        <w:numPr>
          <w:ilvl w:val="0"/>
          <w:numId w:val="11"/>
        </w:numPr>
        <w:jc w:val="both"/>
        <w:rPr>
          <w:rFonts w:ascii="Times New Roman" w:hAnsi="Times New Roman" w:cs="Times New Roman"/>
          <w:sz w:val="24"/>
          <w:szCs w:val="24"/>
        </w:rPr>
      </w:pPr>
      <w:r w:rsidRPr="00B14A04">
        <w:rPr>
          <w:rFonts w:ascii="Times New Roman" w:hAnsi="Times New Roman" w:cs="Times New Roman"/>
          <w:sz w:val="24"/>
          <w:szCs w:val="24"/>
        </w:rPr>
        <w:t>Project Overview</w:t>
      </w:r>
    </w:p>
    <w:p w14:paraId="6E6EAB0A" w14:textId="77777777" w:rsidR="00B14A04" w:rsidRDefault="00F303B6" w:rsidP="00E82A76">
      <w:pPr>
        <w:jc w:val="both"/>
        <w:rPr>
          <w:rFonts w:ascii="Times New Roman" w:hAnsi="Times New Roman" w:cs="Times New Roman"/>
          <w:sz w:val="24"/>
          <w:szCs w:val="24"/>
        </w:rPr>
      </w:pPr>
      <w:r w:rsidRPr="00D643CD">
        <w:rPr>
          <w:rFonts w:ascii="Times New Roman" w:hAnsi="Times New Roman" w:cs="Times New Roman"/>
          <w:sz w:val="24"/>
          <w:szCs w:val="24"/>
        </w:rPr>
        <w:t>This project entails a comprehensive exploratory data analysis (EDA) of United States birth records spanning a ten-year period from 1994 to 2003. The primary objective was to identify temporal trends and patterns in birth frequencies across years, months, and days of the week.</w:t>
      </w:r>
    </w:p>
    <w:p w14:paraId="33066B9C" w14:textId="2E5783F9" w:rsidR="00F303B6" w:rsidRPr="00B14A04" w:rsidRDefault="00F303B6" w:rsidP="00E82A76">
      <w:pPr>
        <w:pStyle w:val="ListParagraph"/>
        <w:numPr>
          <w:ilvl w:val="0"/>
          <w:numId w:val="10"/>
        </w:numPr>
        <w:jc w:val="both"/>
        <w:rPr>
          <w:rFonts w:ascii="Times New Roman" w:hAnsi="Times New Roman" w:cs="Times New Roman"/>
          <w:sz w:val="24"/>
          <w:szCs w:val="24"/>
        </w:rPr>
      </w:pPr>
      <w:r w:rsidRPr="00B14A04">
        <w:rPr>
          <w:rFonts w:ascii="Times New Roman" w:hAnsi="Times New Roman" w:cs="Times New Roman"/>
          <w:sz w:val="24"/>
          <w:szCs w:val="24"/>
        </w:rPr>
        <w:t>Problem Statement</w:t>
      </w:r>
    </w:p>
    <w:p w14:paraId="185B0DC0" w14:textId="77777777" w:rsidR="00F303B6" w:rsidRPr="00D643CD" w:rsidRDefault="00F303B6" w:rsidP="00E82A76">
      <w:pPr>
        <w:jc w:val="both"/>
        <w:rPr>
          <w:rFonts w:ascii="Times New Roman" w:hAnsi="Times New Roman" w:cs="Times New Roman"/>
          <w:sz w:val="24"/>
          <w:szCs w:val="24"/>
        </w:rPr>
      </w:pPr>
      <w:r w:rsidRPr="00D643CD">
        <w:rPr>
          <w:rFonts w:ascii="Times New Roman" w:hAnsi="Times New Roman" w:cs="Times New Roman"/>
          <w:sz w:val="24"/>
          <w:szCs w:val="24"/>
        </w:rPr>
        <w:t>The analysis was designed to address the following core business/research questions:</w:t>
      </w:r>
    </w:p>
    <w:p w14:paraId="782B3C90" w14:textId="77777777" w:rsidR="00F303B6" w:rsidRPr="00F303B6" w:rsidRDefault="00F303B6" w:rsidP="00E82A76">
      <w:pPr>
        <w:pStyle w:val="ListParagraph"/>
        <w:numPr>
          <w:ilvl w:val="0"/>
          <w:numId w:val="5"/>
        </w:numPr>
        <w:jc w:val="both"/>
        <w:rPr>
          <w:rFonts w:ascii="Times New Roman" w:hAnsi="Times New Roman" w:cs="Times New Roman"/>
          <w:sz w:val="24"/>
          <w:szCs w:val="24"/>
        </w:rPr>
      </w:pPr>
      <w:r w:rsidRPr="00F303B6">
        <w:rPr>
          <w:rFonts w:ascii="Times New Roman" w:hAnsi="Times New Roman" w:cs="Times New Roman"/>
          <w:sz w:val="24"/>
          <w:szCs w:val="24"/>
        </w:rPr>
        <w:t>Which year records the highest and the lowest number of births?</w:t>
      </w:r>
    </w:p>
    <w:p w14:paraId="2DBF5AE6" w14:textId="77777777" w:rsidR="00F303B6" w:rsidRPr="00F303B6" w:rsidRDefault="00F303B6" w:rsidP="00E82A76">
      <w:pPr>
        <w:pStyle w:val="ListParagraph"/>
        <w:numPr>
          <w:ilvl w:val="0"/>
          <w:numId w:val="5"/>
        </w:numPr>
        <w:jc w:val="both"/>
        <w:rPr>
          <w:rFonts w:ascii="Times New Roman" w:hAnsi="Times New Roman" w:cs="Times New Roman"/>
          <w:sz w:val="24"/>
          <w:szCs w:val="24"/>
        </w:rPr>
      </w:pPr>
      <w:r w:rsidRPr="00F303B6">
        <w:rPr>
          <w:rFonts w:ascii="Times New Roman" w:hAnsi="Times New Roman" w:cs="Times New Roman"/>
          <w:sz w:val="24"/>
          <w:szCs w:val="24"/>
        </w:rPr>
        <w:t>In which month do people give birth the most?</w:t>
      </w:r>
    </w:p>
    <w:p w14:paraId="210EE354" w14:textId="77777777" w:rsidR="00F303B6" w:rsidRPr="00F303B6" w:rsidRDefault="00F303B6" w:rsidP="00E82A76">
      <w:pPr>
        <w:pStyle w:val="ListParagraph"/>
        <w:numPr>
          <w:ilvl w:val="0"/>
          <w:numId w:val="5"/>
        </w:numPr>
        <w:jc w:val="both"/>
        <w:rPr>
          <w:rFonts w:ascii="Times New Roman" w:hAnsi="Times New Roman" w:cs="Times New Roman"/>
          <w:sz w:val="24"/>
          <w:szCs w:val="24"/>
        </w:rPr>
      </w:pPr>
      <w:r w:rsidRPr="00F303B6">
        <w:rPr>
          <w:rFonts w:ascii="Times New Roman" w:hAnsi="Times New Roman" w:cs="Times New Roman"/>
          <w:sz w:val="24"/>
          <w:szCs w:val="24"/>
        </w:rPr>
        <w:t>On which day of the week do births occur most frequently?</w:t>
      </w:r>
    </w:p>
    <w:p w14:paraId="3AB1B3ED" w14:textId="77777777" w:rsidR="00B14A04" w:rsidRDefault="00B14A04" w:rsidP="00E82A76">
      <w:pPr>
        <w:jc w:val="both"/>
        <w:rPr>
          <w:rFonts w:ascii="Times New Roman" w:hAnsi="Times New Roman" w:cs="Times New Roman"/>
          <w:sz w:val="24"/>
          <w:szCs w:val="24"/>
        </w:rPr>
      </w:pPr>
    </w:p>
    <w:p w14:paraId="5333C2B7" w14:textId="0180866D" w:rsidR="00F303B6" w:rsidRPr="00B14A04" w:rsidRDefault="00F303B6" w:rsidP="00E82A76">
      <w:pPr>
        <w:pStyle w:val="ListParagraph"/>
        <w:numPr>
          <w:ilvl w:val="0"/>
          <w:numId w:val="5"/>
        </w:numPr>
        <w:jc w:val="both"/>
        <w:rPr>
          <w:rFonts w:ascii="Times New Roman" w:hAnsi="Times New Roman" w:cs="Times New Roman"/>
          <w:sz w:val="24"/>
          <w:szCs w:val="24"/>
        </w:rPr>
      </w:pPr>
      <w:r w:rsidRPr="00B14A04">
        <w:rPr>
          <w:rFonts w:ascii="Times New Roman" w:hAnsi="Times New Roman" w:cs="Times New Roman"/>
          <w:sz w:val="24"/>
          <w:szCs w:val="24"/>
        </w:rPr>
        <w:t>Data Source</w:t>
      </w:r>
    </w:p>
    <w:p w14:paraId="03C1BEFA" w14:textId="77777777" w:rsidR="00F303B6" w:rsidRPr="00D643CD" w:rsidRDefault="00F303B6" w:rsidP="00E82A76">
      <w:pPr>
        <w:jc w:val="both"/>
        <w:rPr>
          <w:rFonts w:ascii="Times New Roman" w:hAnsi="Times New Roman" w:cs="Times New Roman"/>
          <w:sz w:val="24"/>
          <w:szCs w:val="24"/>
        </w:rPr>
      </w:pPr>
      <w:r w:rsidRPr="00D643CD">
        <w:rPr>
          <w:rFonts w:ascii="Times New Roman" w:hAnsi="Times New Roman" w:cs="Times New Roman"/>
          <w:sz w:val="24"/>
          <w:szCs w:val="24"/>
        </w:rPr>
        <w:t xml:space="preserve">The dataset used for this analysis is a secondary, real-world dataset sourced from GitHub, intended for case study analysis. </w:t>
      </w:r>
    </w:p>
    <w:p w14:paraId="3AC81DCA" w14:textId="77777777" w:rsidR="00F303B6" w:rsidRPr="00D643CD" w:rsidRDefault="00F303B6" w:rsidP="00E82A76">
      <w:pPr>
        <w:jc w:val="both"/>
        <w:rPr>
          <w:rFonts w:ascii="Times New Roman" w:hAnsi="Times New Roman" w:cs="Times New Roman"/>
          <w:sz w:val="24"/>
          <w:szCs w:val="24"/>
        </w:rPr>
      </w:pPr>
      <w:r w:rsidRPr="00D643CD">
        <w:rPr>
          <w:rFonts w:ascii="Times New Roman" w:hAnsi="Times New Roman" w:cs="Times New Roman"/>
          <w:sz w:val="24"/>
          <w:szCs w:val="24"/>
        </w:rPr>
        <w:t>Format: Microsoft Excel (.xlsx)</w:t>
      </w:r>
    </w:p>
    <w:p w14:paraId="2A2BA53A" w14:textId="77777777" w:rsidR="00F303B6" w:rsidRPr="00D643CD" w:rsidRDefault="00F303B6" w:rsidP="00E82A76">
      <w:pPr>
        <w:jc w:val="both"/>
        <w:rPr>
          <w:rFonts w:ascii="Times New Roman" w:hAnsi="Times New Roman" w:cs="Times New Roman"/>
          <w:sz w:val="24"/>
          <w:szCs w:val="24"/>
        </w:rPr>
      </w:pPr>
      <w:r w:rsidRPr="00D643CD">
        <w:rPr>
          <w:rFonts w:ascii="Times New Roman" w:hAnsi="Times New Roman" w:cs="Times New Roman"/>
          <w:sz w:val="24"/>
          <w:szCs w:val="24"/>
        </w:rPr>
        <w:t>Volume:</w:t>
      </w:r>
      <w:r>
        <w:rPr>
          <w:rFonts w:ascii="Times New Roman" w:hAnsi="Times New Roman" w:cs="Times New Roman"/>
          <w:sz w:val="24"/>
          <w:szCs w:val="24"/>
        </w:rPr>
        <w:t xml:space="preserve"> </w:t>
      </w:r>
      <w:r w:rsidRPr="00D643CD">
        <w:rPr>
          <w:rFonts w:ascii="Times New Roman" w:hAnsi="Times New Roman" w:cs="Times New Roman"/>
          <w:sz w:val="24"/>
          <w:szCs w:val="24"/>
        </w:rPr>
        <w:t>3,653 r</w:t>
      </w:r>
      <w:r>
        <w:rPr>
          <w:rFonts w:ascii="Times New Roman" w:hAnsi="Times New Roman" w:cs="Times New Roman"/>
          <w:sz w:val="24"/>
          <w:szCs w:val="24"/>
        </w:rPr>
        <w:t>ows</w:t>
      </w:r>
    </w:p>
    <w:p w14:paraId="676E698D" w14:textId="77777777" w:rsidR="00F303B6" w:rsidRPr="00D643CD" w:rsidRDefault="00F303B6" w:rsidP="00E82A76">
      <w:pPr>
        <w:jc w:val="both"/>
        <w:rPr>
          <w:rFonts w:ascii="Times New Roman" w:hAnsi="Times New Roman" w:cs="Times New Roman"/>
          <w:sz w:val="24"/>
          <w:szCs w:val="24"/>
        </w:rPr>
      </w:pPr>
      <w:r w:rsidRPr="00D643CD">
        <w:rPr>
          <w:rFonts w:ascii="Times New Roman" w:hAnsi="Times New Roman" w:cs="Times New Roman"/>
          <w:sz w:val="24"/>
          <w:szCs w:val="24"/>
        </w:rPr>
        <w:t>Dimensions:</w:t>
      </w:r>
      <w:r>
        <w:rPr>
          <w:rFonts w:ascii="Times New Roman" w:hAnsi="Times New Roman" w:cs="Times New Roman"/>
          <w:sz w:val="24"/>
          <w:szCs w:val="24"/>
        </w:rPr>
        <w:t xml:space="preserve"> </w:t>
      </w:r>
      <w:r w:rsidRPr="00D643CD">
        <w:rPr>
          <w:rFonts w:ascii="Times New Roman" w:hAnsi="Times New Roman" w:cs="Times New Roman"/>
          <w:sz w:val="24"/>
          <w:szCs w:val="24"/>
        </w:rPr>
        <w:t>5 columns</w:t>
      </w:r>
    </w:p>
    <w:p w14:paraId="11D42B01" w14:textId="60135ED7" w:rsidR="00F303B6" w:rsidRPr="00B14A04" w:rsidRDefault="00F303B6" w:rsidP="00E82A76">
      <w:pPr>
        <w:pStyle w:val="ListParagraph"/>
        <w:numPr>
          <w:ilvl w:val="0"/>
          <w:numId w:val="9"/>
        </w:numPr>
        <w:jc w:val="both"/>
        <w:rPr>
          <w:rFonts w:ascii="Times New Roman" w:hAnsi="Times New Roman" w:cs="Times New Roman"/>
          <w:sz w:val="24"/>
          <w:szCs w:val="24"/>
        </w:rPr>
      </w:pPr>
      <w:r w:rsidRPr="00B14A04">
        <w:rPr>
          <w:rFonts w:ascii="Times New Roman" w:hAnsi="Times New Roman" w:cs="Times New Roman"/>
          <w:sz w:val="24"/>
          <w:szCs w:val="24"/>
        </w:rPr>
        <w:t>Tools &amp; Technologies</w:t>
      </w:r>
    </w:p>
    <w:p w14:paraId="1382849B" w14:textId="77777777" w:rsidR="00F303B6" w:rsidRPr="00D643CD" w:rsidRDefault="00F303B6" w:rsidP="00E82A76">
      <w:pPr>
        <w:jc w:val="both"/>
        <w:rPr>
          <w:rFonts w:ascii="Times New Roman" w:hAnsi="Times New Roman" w:cs="Times New Roman"/>
          <w:sz w:val="24"/>
          <w:szCs w:val="24"/>
        </w:rPr>
      </w:pPr>
      <w:r w:rsidRPr="00D643CD">
        <w:rPr>
          <w:rFonts w:ascii="Times New Roman" w:hAnsi="Times New Roman" w:cs="Times New Roman"/>
          <w:sz w:val="24"/>
          <w:szCs w:val="24"/>
        </w:rPr>
        <w:t>The analysis was conducted entirely within the Microsoft Excel environment, utilizing:</w:t>
      </w:r>
    </w:p>
    <w:p w14:paraId="1125ED7A" w14:textId="77777777" w:rsidR="00F303B6" w:rsidRPr="00D643CD" w:rsidRDefault="00F303B6" w:rsidP="00E82A76">
      <w:pPr>
        <w:jc w:val="both"/>
        <w:rPr>
          <w:rFonts w:ascii="Times New Roman" w:hAnsi="Times New Roman" w:cs="Times New Roman"/>
          <w:sz w:val="24"/>
          <w:szCs w:val="24"/>
        </w:rPr>
      </w:pPr>
      <w:r w:rsidRPr="00D643CD">
        <w:rPr>
          <w:rFonts w:ascii="Times New Roman" w:hAnsi="Times New Roman" w:cs="Times New Roman"/>
          <w:sz w:val="24"/>
          <w:szCs w:val="24"/>
        </w:rPr>
        <w:t>Excel: For data cleaning and preprocessing.</w:t>
      </w:r>
    </w:p>
    <w:p w14:paraId="77141983" w14:textId="77777777" w:rsidR="00F303B6" w:rsidRPr="00D643CD" w:rsidRDefault="00F303B6" w:rsidP="00E82A76">
      <w:pPr>
        <w:jc w:val="both"/>
        <w:rPr>
          <w:rFonts w:ascii="Times New Roman" w:hAnsi="Times New Roman" w:cs="Times New Roman"/>
          <w:sz w:val="24"/>
          <w:szCs w:val="24"/>
        </w:rPr>
      </w:pPr>
      <w:r w:rsidRPr="00D643CD">
        <w:rPr>
          <w:rFonts w:ascii="Times New Roman" w:hAnsi="Times New Roman" w:cs="Times New Roman"/>
          <w:sz w:val="24"/>
          <w:szCs w:val="24"/>
        </w:rPr>
        <w:t>Pivot Tables: For data aggregation and summarization.</w:t>
      </w:r>
    </w:p>
    <w:p w14:paraId="5923BFA2" w14:textId="77777777" w:rsidR="00F303B6" w:rsidRPr="00D643CD" w:rsidRDefault="00F303B6" w:rsidP="00E82A76">
      <w:pPr>
        <w:jc w:val="both"/>
        <w:rPr>
          <w:rFonts w:ascii="Times New Roman" w:hAnsi="Times New Roman" w:cs="Times New Roman"/>
          <w:sz w:val="24"/>
          <w:szCs w:val="24"/>
        </w:rPr>
      </w:pPr>
      <w:r w:rsidRPr="00D643CD">
        <w:rPr>
          <w:rFonts w:ascii="Times New Roman" w:hAnsi="Times New Roman" w:cs="Times New Roman"/>
          <w:sz w:val="24"/>
          <w:szCs w:val="24"/>
        </w:rPr>
        <w:t>Pivot Charts: For dynamic data visualization.</w:t>
      </w:r>
    </w:p>
    <w:p w14:paraId="4B7B8C3B" w14:textId="77777777" w:rsidR="00F303B6" w:rsidRPr="00B14A04" w:rsidRDefault="00F303B6" w:rsidP="00E82A76">
      <w:pPr>
        <w:pStyle w:val="ListParagraph"/>
        <w:numPr>
          <w:ilvl w:val="0"/>
          <w:numId w:val="8"/>
        </w:numPr>
        <w:jc w:val="both"/>
        <w:rPr>
          <w:rFonts w:ascii="Times New Roman" w:hAnsi="Times New Roman" w:cs="Times New Roman"/>
          <w:sz w:val="24"/>
          <w:szCs w:val="24"/>
        </w:rPr>
      </w:pPr>
      <w:r w:rsidRPr="00B14A04">
        <w:rPr>
          <w:rFonts w:ascii="Times New Roman" w:hAnsi="Times New Roman" w:cs="Times New Roman"/>
          <w:sz w:val="24"/>
          <w:szCs w:val="24"/>
        </w:rPr>
        <w:t>Methodology</w:t>
      </w:r>
    </w:p>
    <w:p w14:paraId="5DBFA03A" w14:textId="77777777" w:rsidR="00F303B6" w:rsidRPr="00D643CD" w:rsidRDefault="00F303B6" w:rsidP="00E82A76">
      <w:pPr>
        <w:jc w:val="both"/>
        <w:rPr>
          <w:rFonts w:ascii="Times New Roman" w:hAnsi="Times New Roman" w:cs="Times New Roman"/>
          <w:sz w:val="24"/>
          <w:szCs w:val="24"/>
        </w:rPr>
      </w:pPr>
      <w:r w:rsidRPr="00D643CD">
        <w:rPr>
          <w:rFonts w:ascii="Times New Roman" w:hAnsi="Times New Roman" w:cs="Times New Roman"/>
          <w:sz w:val="24"/>
          <w:szCs w:val="24"/>
        </w:rPr>
        <w:t>Data Cleaning and Preprocessing</w:t>
      </w:r>
    </w:p>
    <w:p w14:paraId="1B72C762" w14:textId="77777777" w:rsidR="00F303B6" w:rsidRPr="00D643CD" w:rsidRDefault="00F303B6" w:rsidP="00E82A76">
      <w:pPr>
        <w:jc w:val="both"/>
        <w:rPr>
          <w:rFonts w:ascii="Times New Roman" w:hAnsi="Times New Roman" w:cs="Times New Roman"/>
          <w:sz w:val="24"/>
          <w:szCs w:val="24"/>
        </w:rPr>
      </w:pPr>
      <w:r w:rsidRPr="00D643CD">
        <w:rPr>
          <w:rFonts w:ascii="Times New Roman" w:hAnsi="Times New Roman" w:cs="Times New Roman"/>
          <w:sz w:val="24"/>
          <w:szCs w:val="24"/>
        </w:rPr>
        <w:t>Before analysis, the raw dataset underwent a cleaning process in Excel to ensure data quality and uniformity:</w:t>
      </w:r>
    </w:p>
    <w:p w14:paraId="1D57CD2D" w14:textId="77777777" w:rsidR="00F303B6" w:rsidRPr="00D643CD" w:rsidRDefault="00F303B6" w:rsidP="00E82A76">
      <w:pPr>
        <w:jc w:val="both"/>
        <w:rPr>
          <w:rFonts w:ascii="Times New Roman" w:hAnsi="Times New Roman" w:cs="Times New Roman"/>
          <w:sz w:val="24"/>
          <w:szCs w:val="24"/>
        </w:rPr>
      </w:pPr>
      <w:r w:rsidRPr="00D643CD">
        <w:rPr>
          <w:rFonts w:ascii="Times New Roman" w:hAnsi="Times New Roman" w:cs="Times New Roman"/>
          <w:sz w:val="24"/>
          <w:szCs w:val="24"/>
        </w:rPr>
        <w:lastRenderedPageBreak/>
        <w:t>Data Type Standardization: The numerical data fields were evaluated and converted from decimal format to whole numbers (integers) to ensure uniformity and accuracy, as birth counts cannot be fractional.</w:t>
      </w:r>
    </w:p>
    <w:p w14:paraId="4C66F144" w14:textId="77777777" w:rsidR="00F303B6" w:rsidRPr="00B14A04" w:rsidRDefault="00F303B6" w:rsidP="00E82A76">
      <w:pPr>
        <w:pStyle w:val="ListParagraph"/>
        <w:numPr>
          <w:ilvl w:val="0"/>
          <w:numId w:val="7"/>
        </w:numPr>
        <w:jc w:val="both"/>
        <w:rPr>
          <w:rFonts w:ascii="Times New Roman" w:hAnsi="Times New Roman" w:cs="Times New Roman"/>
          <w:sz w:val="24"/>
          <w:szCs w:val="24"/>
        </w:rPr>
      </w:pPr>
      <w:r w:rsidRPr="00B14A04">
        <w:rPr>
          <w:rFonts w:ascii="Times New Roman" w:hAnsi="Times New Roman" w:cs="Times New Roman"/>
          <w:sz w:val="24"/>
          <w:szCs w:val="24"/>
        </w:rPr>
        <w:t>Data Analysis and Visualization</w:t>
      </w:r>
    </w:p>
    <w:p w14:paraId="2442A734" w14:textId="77777777" w:rsidR="00F303B6" w:rsidRPr="00D643CD" w:rsidRDefault="00F303B6" w:rsidP="00E82A76">
      <w:pPr>
        <w:jc w:val="both"/>
        <w:rPr>
          <w:rFonts w:ascii="Times New Roman" w:hAnsi="Times New Roman" w:cs="Times New Roman"/>
          <w:sz w:val="24"/>
          <w:szCs w:val="24"/>
        </w:rPr>
      </w:pPr>
      <w:r w:rsidRPr="00D643CD">
        <w:rPr>
          <w:rFonts w:ascii="Times New Roman" w:hAnsi="Times New Roman" w:cs="Times New Roman"/>
          <w:sz w:val="24"/>
          <w:szCs w:val="24"/>
        </w:rPr>
        <w:t>Following the cleaning phase, the dataset was loaded into Excel Pivot Tables. The data was then aggregated across different temporal dimensions (Year, Month, and Day of the Week) to answer the problem statement. Pivot Charts were generated from these tables to provide a visual representation of the trends and facilitate easier interpretation of the findings.</w:t>
      </w:r>
    </w:p>
    <w:p w14:paraId="667FFDCA" w14:textId="0B6215FA" w:rsidR="00D41D68" w:rsidRPr="00B14A04" w:rsidRDefault="00F303B6" w:rsidP="00E82A76">
      <w:pPr>
        <w:pStyle w:val="ListParagraph"/>
        <w:numPr>
          <w:ilvl w:val="0"/>
          <w:numId w:val="6"/>
        </w:numPr>
        <w:jc w:val="both"/>
        <w:rPr>
          <w:rFonts w:ascii="Times New Roman" w:hAnsi="Times New Roman" w:cs="Times New Roman"/>
          <w:sz w:val="24"/>
          <w:szCs w:val="24"/>
        </w:rPr>
      </w:pPr>
      <w:r w:rsidRPr="00B14A04">
        <w:rPr>
          <w:rFonts w:ascii="Times New Roman" w:hAnsi="Times New Roman" w:cs="Times New Roman"/>
          <w:sz w:val="24"/>
          <w:szCs w:val="24"/>
        </w:rPr>
        <w:t xml:space="preserve">Key Findings &amp; Observations </w:t>
      </w:r>
    </w:p>
    <w:p w14:paraId="41203B5B" w14:textId="5388ECE2" w:rsidR="00D41D68" w:rsidRDefault="00D41D68" w:rsidP="00E82A76">
      <w:pPr>
        <w:jc w:val="both"/>
        <w:rPr>
          <w:rFonts w:ascii="Times New Roman" w:hAnsi="Times New Roman" w:cs="Times New Roman"/>
          <w:sz w:val="24"/>
          <w:szCs w:val="24"/>
        </w:rPr>
      </w:pPr>
      <w:r>
        <w:rPr>
          <w:noProof/>
        </w:rPr>
        <w:drawing>
          <wp:inline distT="0" distB="0" distL="0" distR="0" wp14:anchorId="46F4706B" wp14:editId="3CDEFC58">
            <wp:extent cx="4572000" cy="2743200"/>
            <wp:effectExtent l="0" t="0" r="0" b="0"/>
            <wp:docPr id="1522857789" name="Chart 1">
              <a:extLst xmlns:a="http://schemas.openxmlformats.org/drawingml/2006/main">
                <a:ext uri="{FF2B5EF4-FFF2-40B4-BE49-F238E27FC236}">
                  <a16:creationId xmlns:a16="http://schemas.microsoft.com/office/drawing/2014/main" id="{85917715-85AD-51F4-E1D5-967AE9C963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A2157ED" w14:textId="075C077B" w:rsidR="00D643CD" w:rsidRDefault="00D643CD" w:rsidP="00E82A76">
      <w:pPr>
        <w:jc w:val="both"/>
        <w:rPr>
          <w:rFonts w:ascii="Times New Roman" w:hAnsi="Times New Roman" w:cs="Times New Roman"/>
          <w:sz w:val="24"/>
          <w:szCs w:val="24"/>
        </w:rPr>
      </w:pPr>
      <w:r w:rsidRPr="00D643CD">
        <w:rPr>
          <w:rFonts w:ascii="Times New Roman" w:hAnsi="Times New Roman" w:cs="Times New Roman"/>
          <w:sz w:val="24"/>
          <w:szCs w:val="24"/>
        </w:rPr>
        <w:t>The temporal analysis reveals significant volatility in annual birth rates across the decade. The period began with a</w:t>
      </w:r>
      <w:r w:rsidR="00F303B6">
        <w:rPr>
          <w:rFonts w:ascii="Times New Roman" w:hAnsi="Times New Roman" w:cs="Times New Roman"/>
          <w:sz w:val="24"/>
          <w:szCs w:val="24"/>
        </w:rPr>
        <w:t>n up</w:t>
      </w:r>
      <w:r w:rsidRPr="00D643CD">
        <w:rPr>
          <w:rFonts w:ascii="Times New Roman" w:hAnsi="Times New Roman" w:cs="Times New Roman"/>
          <w:sz w:val="24"/>
          <w:szCs w:val="24"/>
        </w:rPr>
        <w:t>ward trend, culminating in the dataset's lowest recorded volume in 1997. Th</w:t>
      </w:r>
      <w:r w:rsidR="00F303B6">
        <w:rPr>
          <w:rFonts w:ascii="Times New Roman" w:hAnsi="Times New Roman" w:cs="Times New Roman"/>
          <w:sz w:val="24"/>
          <w:szCs w:val="24"/>
        </w:rPr>
        <w:t>e chart</w:t>
      </w:r>
      <w:r w:rsidRPr="00D643CD">
        <w:rPr>
          <w:rFonts w:ascii="Times New Roman" w:hAnsi="Times New Roman" w:cs="Times New Roman"/>
          <w:sz w:val="24"/>
          <w:szCs w:val="24"/>
        </w:rPr>
        <w:t xml:space="preserve"> was followed by a sustained three-year resurgence, peaking in 2000. Interestingly, the subsequent decline was short-lived; the dataset concludes with a sharp upward trajectory, reaching its absolute peak in 2003. This indicates that while the late 90s experienced a dip in births, the early 2000s marked a period of significant demographic growth.</w:t>
      </w:r>
    </w:p>
    <w:p w14:paraId="0683FA90" w14:textId="77777777" w:rsidR="00A540CE" w:rsidRDefault="00A540CE" w:rsidP="00E82A76">
      <w:pPr>
        <w:jc w:val="both"/>
        <w:rPr>
          <w:rFonts w:ascii="Times New Roman" w:hAnsi="Times New Roman" w:cs="Times New Roman"/>
          <w:sz w:val="24"/>
          <w:szCs w:val="24"/>
        </w:rPr>
      </w:pPr>
    </w:p>
    <w:p w14:paraId="233A0AF3" w14:textId="04C2D27D" w:rsidR="00A540CE" w:rsidRPr="005F7E9F" w:rsidRDefault="00A540CE" w:rsidP="00E82A76">
      <w:pPr>
        <w:jc w:val="both"/>
        <w:rPr>
          <w:rFonts w:ascii="Times New Roman" w:hAnsi="Times New Roman" w:cs="Times New Roman"/>
          <w:sz w:val="24"/>
          <w:szCs w:val="24"/>
        </w:rPr>
      </w:pPr>
      <w:r>
        <w:rPr>
          <w:noProof/>
        </w:rPr>
        <w:drawing>
          <wp:inline distT="0" distB="0" distL="0" distR="0" wp14:anchorId="4111C074" wp14:editId="51838B9E">
            <wp:extent cx="4572000" cy="2743200"/>
            <wp:effectExtent l="0" t="0" r="0" b="0"/>
            <wp:docPr id="708758086" name="Chart 1">
              <a:extLst xmlns:a="http://schemas.openxmlformats.org/drawingml/2006/main">
                <a:ext uri="{FF2B5EF4-FFF2-40B4-BE49-F238E27FC236}">
                  <a16:creationId xmlns:a16="http://schemas.microsoft.com/office/drawing/2014/main" id="{64EE79CD-8E84-421E-378F-FA79041AE9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EDF07B8" w14:textId="7097AAE9" w:rsidR="00D643CD" w:rsidRDefault="00D643CD" w:rsidP="00E82A76">
      <w:pPr>
        <w:jc w:val="both"/>
        <w:rPr>
          <w:rFonts w:ascii="Times New Roman" w:hAnsi="Times New Roman" w:cs="Times New Roman"/>
          <w:sz w:val="24"/>
          <w:szCs w:val="24"/>
        </w:rPr>
      </w:pPr>
      <w:r w:rsidRPr="00D643CD">
        <w:rPr>
          <w:rFonts w:ascii="Times New Roman" w:hAnsi="Times New Roman" w:cs="Times New Roman"/>
          <w:sz w:val="24"/>
          <w:szCs w:val="24"/>
        </w:rPr>
        <w:t>The monthly distribution of births reveals a distinct seasonal pattern, with August emerging as the peak month for childbirths and February recording the lowest volume. Rather than a uniform trend, the data exhibits a cyclical, oscillating pattern characterized by alternating monthly surges and contractions (e.g., increases in January and March followed by declines in February and April). This consistent fluctuation suggests that birth rates are influenced by recurring seasonal factors rather than steady, linear growth throughout the year.</w:t>
      </w:r>
    </w:p>
    <w:p w14:paraId="0061E574" w14:textId="77777777" w:rsidR="00A540CE" w:rsidRDefault="00A540CE" w:rsidP="00E82A76">
      <w:pPr>
        <w:ind w:left="360"/>
        <w:jc w:val="both"/>
        <w:rPr>
          <w:rFonts w:ascii="Times New Roman" w:hAnsi="Times New Roman" w:cs="Times New Roman"/>
          <w:sz w:val="24"/>
          <w:szCs w:val="24"/>
        </w:rPr>
      </w:pPr>
    </w:p>
    <w:p w14:paraId="5923D852" w14:textId="553D390A" w:rsidR="00A540CE" w:rsidRDefault="00834E7E" w:rsidP="00E82A76">
      <w:pPr>
        <w:ind w:left="360"/>
        <w:jc w:val="both"/>
        <w:rPr>
          <w:rFonts w:ascii="Times New Roman" w:hAnsi="Times New Roman" w:cs="Times New Roman"/>
          <w:sz w:val="24"/>
          <w:szCs w:val="24"/>
        </w:rPr>
      </w:pPr>
      <w:r>
        <w:rPr>
          <w:noProof/>
        </w:rPr>
        <w:drawing>
          <wp:inline distT="0" distB="0" distL="0" distR="0" wp14:anchorId="28C21AB0" wp14:editId="20857E23">
            <wp:extent cx="5915025" cy="2952750"/>
            <wp:effectExtent l="0" t="0" r="9525" b="0"/>
            <wp:docPr id="2008123445" name="Chart 1">
              <a:extLst xmlns:a="http://schemas.openxmlformats.org/drawingml/2006/main">
                <a:ext uri="{FF2B5EF4-FFF2-40B4-BE49-F238E27FC236}">
                  <a16:creationId xmlns:a16="http://schemas.microsoft.com/office/drawing/2014/main" id="{AEA477C5-D218-C7B5-1E74-093DF11EE6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7046071" w14:textId="144E50AC" w:rsidR="008669CE" w:rsidRPr="008669CE" w:rsidRDefault="008669CE" w:rsidP="00E82A76">
      <w:pPr>
        <w:ind w:left="360"/>
        <w:jc w:val="both"/>
        <w:rPr>
          <w:rFonts w:ascii="Times New Roman" w:hAnsi="Times New Roman" w:cs="Times New Roman"/>
          <w:sz w:val="24"/>
          <w:szCs w:val="24"/>
        </w:rPr>
      </w:pPr>
      <w:r w:rsidRPr="008669CE">
        <w:rPr>
          <w:rFonts w:ascii="Times New Roman" w:hAnsi="Times New Roman" w:cs="Times New Roman"/>
          <w:sz w:val="24"/>
          <w:szCs w:val="24"/>
        </w:rPr>
        <w:t>For the first 28 days of the month, the line is relatively flat. The number of births stays consistently between roughly 1,200,000 and 1,300,000 per day. There are small dips and peaks, but the overall volume is stable</w:t>
      </w:r>
      <w:r>
        <w:rPr>
          <w:rFonts w:ascii="Times New Roman" w:hAnsi="Times New Roman" w:cs="Times New Roman"/>
          <w:sz w:val="24"/>
          <w:szCs w:val="24"/>
        </w:rPr>
        <w:t xml:space="preserve">. </w:t>
      </w:r>
      <w:r w:rsidRPr="008669CE">
        <w:rPr>
          <w:rFonts w:ascii="Times New Roman" w:hAnsi="Times New Roman" w:cs="Times New Roman"/>
          <w:sz w:val="24"/>
          <w:szCs w:val="24"/>
        </w:rPr>
        <w:t>The line begins to drop slightly</w:t>
      </w:r>
      <w:r>
        <w:rPr>
          <w:rFonts w:ascii="Times New Roman" w:hAnsi="Times New Roman" w:cs="Times New Roman"/>
          <w:sz w:val="24"/>
          <w:szCs w:val="24"/>
        </w:rPr>
        <w:t xml:space="preserve">, </w:t>
      </w:r>
      <w:r w:rsidRPr="008669CE">
        <w:rPr>
          <w:rFonts w:ascii="Times New Roman" w:hAnsi="Times New Roman" w:cs="Times New Roman"/>
          <w:sz w:val="24"/>
          <w:szCs w:val="24"/>
        </w:rPr>
        <w:t>falling to roughly 1,200,000</w:t>
      </w:r>
      <w:r>
        <w:rPr>
          <w:rFonts w:ascii="Times New Roman" w:hAnsi="Times New Roman" w:cs="Times New Roman"/>
          <w:sz w:val="24"/>
          <w:szCs w:val="24"/>
        </w:rPr>
        <w:t xml:space="preserve"> by day 29. By day 30 t</w:t>
      </w:r>
      <w:r w:rsidRPr="008669CE">
        <w:rPr>
          <w:rFonts w:ascii="Times New Roman" w:hAnsi="Times New Roman" w:cs="Times New Roman"/>
          <w:sz w:val="24"/>
          <w:szCs w:val="24"/>
        </w:rPr>
        <w:t>he line continues to drop (down to roughly 1,100,000)</w:t>
      </w:r>
      <w:r>
        <w:rPr>
          <w:rFonts w:ascii="Times New Roman" w:hAnsi="Times New Roman" w:cs="Times New Roman"/>
          <w:sz w:val="24"/>
          <w:szCs w:val="24"/>
        </w:rPr>
        <w:t xml:space="preserve"> and a sudden </w:t>
      </w:r>
      <w:r w:rsidRPr="008669CE">
        <w:rPr>
          <w:rFonts w:ascii="Times New Roman" w:hAnsi="Times New Roman" w:cs="Times New Roman"/>
          <w:sz w:val="24"/>
          <w:szCs w:val="24"/>
        </w:rPr>
        <w:t>dramatic and sudden plunge</w:t>
      </w:r>
      <w:r>
        <w:rPr>
          <w:rFonts w:ascii="Times New Roman" w:hAnsi="Times New Roman" w:cs="Times New Roman"/>
          <w:sz w:val="24"/>
          <w:szCs w:val="24"/>
        </w:rPr>
        <w:t xml:space="preserve"> occurs on day 30 which </w:t>
      </w:r>
      <w:r w:rsidRPr="008669CE">
        <w:rPr>
          <w:rFonts w:ascii="Times New Roman" w:hAnsi="Times New Roman" w:cs="Times New Roman"/>
          <w:sz w:val="24"/>
          <w:szCs w:val="24"/>
        </w:rPr>
        <w:t>end</w:t>
      </w:r>
      <w:r>
        <w:rPr>
          <w:rFonts w:ascii="Times New Roman" w:hAnsi="Times New Roman" w:cs="Times New Roman"/>
          <w:sz w:val="24"/>
          <w:szCs w:val="24"/>
        </w:rPr>
        <w:t>s</w:t>
      </w:r>
      <w:r w:rsidRPr="008669CE">
        <w:rPr>
          <w:rFonts w:ascii="Times New Roman" w:hAnsi="Times New Roman" w:cs="Times New Roman"/>
          <w:sz w:val="24"/>
          <w:szCs w:val="24"/>
        </w:rPr>
        <w:t xml:space="preserve"> at approximately</w:t>
      </w:r>
      <w:r w:rsidRPr="00B14A04">
        <w:rPr>
          <w:rFonts w:ascii="Times New Roman" w:hAnsi="Times New Roman" w:cs="Times New Roman"/>
          <w:sz w:val="24"/>
          <w:szCs w:val="24"/>
        </w:rPr>
        <w:t xml:space="preserve"> 750,000 births.</w:t>
      </w:r>
      <w:r>
        <w:rPr>
          <w:rFonts w:ascii="Times New Roman" w:hAnsi="Times New Roman" w:cs="Times New Roman"/>
          <w:sz w:val="24"/>
          <w:szCs w:val="24"/>
        </w:rPr>
        <w:t xml:space="preserve"> This could be because </w:t>
      </w:r>
      <w:r w:rsidR="00B14A04">
        <w:rPr>
          <w:rFonts w:ascii="Times New Roman" w:hAnsi="Times New Roman" w:cs="Times New Roman"/>
          <w:sz w:val="24"/>
          <w:szCs w:val="24"/>
        </w:rPr>
        <w:t>the</w:t>
      </w:r>
      <w:r>
        <w:rPr>
          <w:rFonts w:ascii="Times New Roman" w:hAnsi="Times New Roman" w:cs="Times New Roman"/>
          <w:sz w:val="24"/>
          <w:szCs w:val="24"/>
        </w:rPr>
        <w:t xml:space="preserve"> 31</w:t>
      </w:r>
      <w:r w:rsidRPr="008669CE">
        <w:rPr>
          <w:rFonts w:ascii="Times New Roman" w:hAnsi="Times New Roman" w:cs="Times New Roman"/>
          <w:sz w:val="24"/>
          <w:szCs w:val="24"/>
          <w:vertAlign w:val="superscript"/>
        </w:rPr>
        <w:t>st</w:t>
      </w:r>
      <w:r>
        <w:rPr>
          <w:rFonts w:ascii="Times New Roman" w:hAnsi="Times New Roman" w:cs="Times New Roman"/>
          <w:sz w:val="24"/>
          <w:szCs w:val="24"/>
        </w:rPr>
        <w:t xml:space="preserve"> occurs 7 times in a year.</w:t>
      </w:r>
    </w:p>
    <w:p w14:paraId="7AC9EF7F" w14:textId="77777777" w:rsidR="008669CE" w:rsidRDefault="008669CE" w:rsidP="00E82A76">
      <w:pPr>
        <w:ind w:left="360"/>
        <w:jc w:val="both"/>
        <w:rPr>
          <w:rFonts w:ascii="Times New Roman" w:hAnsi="Times New Roman" w:cs="Times New Roman"/>
          <w:sz w:val="24"/>
          <w:szCs w:val="24"/>
        </w:rPr>
      </w:pPr>
    </w:p>
    <w:p w14:paraId="4CB9DC64" w14:textId="4F249D39" w:rsidR="00834E7E" w:rsidRDefault="008669CE" w:rsidP="00E82A76">
      <w:pPr>
        <w:jc w:val="both"/>
        <w:rPr>
          <w:rFonts w:ascii="Times New Roman" w:hAnsi="Times New Roman" w:cs="Times New Roman"/>
          <w:sz w:val="24"/>
          <w:szCs w:val="24"/>
        </w:rPr>
      </w:pPr>
      <w:r>
        <w:rPr>
          <w:noProof/>
        </w:rPr>
        <w:drawing>
          <wp:inline distT="0" distB="0" distL="0" distR="0" wp14:anchorId="4AB063F4" wp14:editId="3C44CF7E">
            <wp:extent cx="5419725" cy="2809875"/>
            <wp:effectExtent l="0" t="0" r="9525" b="9525"/>
            <wp:docPr id="780867350" name="Chart 1">
              <a:extLst xmlns:a="http://schemas.openxmlformats.org/drawingml/2006/main">
                <a:ext uri="{FF2B5EF4-FFF2-40B4-BE49-F238E27FC236}">
                  <a16:creationId xmlns:a16="http://schemas.microsoft.com/office/drawing/2014/main" id="{8FF85A2E-77B9-7A0C-F706-6480A00E28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D062D88" w14:textId="5B15C311" w:rsidR="0034319A" w:rsidRDefault="00D643CD" w:rsidP="00E82A76">
      <w:pPr>
        <w:jc w:val="both"/>
        <w:rPr>
          <w:rFonts w:ascii="Times New Roman" w:hAnsi="Times New Roman" w:cs="Times New Roman"/>
          <w:sz w:val="24"/>
          <w:szCs w:val="24"/>
        </w:rPr>
      </w:pPr>
      <w:r w:rsidRPr="00D643CD">
        <w:rPr>
          <w:rFonts w:ascii="Times New Roman" w:hAnsi="Times New Roman" w:cs="Times New Roman"/>
          <w:sz w:val="24"/>
          <w:szCs w:val="24"/>
        </w:rPr>
        <w:t xml:space="preserve">The day-of-the-week analysis reveals a highly pronounced weekly cycle in childbirth frequency. The data begins with a Sunday decline, followed by a sharp surge on Monday, which registers as the absolute peak for the week. From this apex, birth volumes decline progressively through the remaining days, ultimately reaching their lowest point on Saturday. This steep Monday spike and gradual weekend drop-off strongly </w:t>
      </w:r>
      <w:r w:rsidR="00B14A04" w:rsidRPr="00D643CD">
        <w:rPr>
          <w:rFonts w:ascii="Times New Roman" w:hAnsi="Times New Roman" w:cs="Times New Roman"/>
          <w:sz w:val="24"/>
          <w:szCs w:val="24"/>
        </w:rPr>
        <w:t>suggests</w:t>
      </w:r>
      <w:r w:rsidRPr="00D643CD">
        <w:rPr>
          <w:rFonts w:ascii="Times New Roman" w:hAnsi="Times New Roman" w:cs="Times New Roman"/>
          <w:sz w:val="24"/>
          <w:szCs w:val="24"/>
        </w:rPr>
        <w:t xml:space="preserve"> that the timing of childbirths is heavily influenced by scheduled medical interventions rather than occurring purely at random.</w:t>
      </w:r>
    </w:p>
    <w:p w14:paraId="0DF8F350" w14:textId="77777777" w:rsidR="00B14A04" w:rsidRDefault="00B14A04" w:rsidP="00E82A76">
      <w:pPr>
        <w:jc w:val="both"/>
        <w:rPr>
          <w:rFonts w:ascii="Times New Roman" w:hAnsi="Times New Roman" w:cs="Times New Roman"/>
          <w:sz w:val="24"/>
          <w:szCs w:val="24"/>
        </w:rPr>
      </w:pPr>
    </w:p>
    <w:p w14:paraId="6948B3EA" w14:textId="08ADC8B1" w:rsidR="00A540CE" w:rsidRDefault="0034319A" w:rsidP="00E82A76">
      <w:pPr>
        <w:jc w:val="both"/>
        <w:rPr>
          <w:rFonts w:ascii="Times New Roman" w:hAnsi="Times New Roman" w:cs="Times New Roman"/>
          <w:sz w:val="24"/>
          <w:szCs w:val="24"/>
        </w:rPr>
      </w:pPr>
      <w:r>
        <w:rPr>
          <w:rFonts w:ascii="Times New Roman" w:hAnsi="Times New Roman" w:cs="Times New Roman"/>
          <w:sz w:val="24"/>
          <w:szCs w:val="24"/>
        </w:rPr>
        <w:t>Conclusion</w:t>
      </w:r>
    </w:p>
    <w:p w14:paraId="7B336BEE" w14:textId="77777777" w:rsidR="00B14A04" w:rsidRDefault="00B14A04" w:rsidP="00E82A76">
      <w:pPr>
        <w:jc w:val="both"/>
        <w:rPr>
          <w:rFonts w:ascii="Times New Roman" w:hAnsi="Times New Roman" w:cs="Times New Roman"/>
          <w:sz w:val="24"/>
          <w:szCs w:val="24"/>
        </w:rPr>
      </w:pPr>
      <w:r w:rsidRPr="00D643CD">
        <w:rPr>
          <w:rFonts w:ascii="Times New Roman" w:hAnsi="Times New Roman" w:cs="Times New Roman"/>
          <w:sz w:val="24"/>
          <w:szCs w:val="24"/>
        </w:rPr>
        <w:t>This project successfully utilized Excel's Pivot Table and Pivot Chart functionalities to transform a raw dataset of over 3,600 records into actionable insights. The analysis provides a clear view of temporal birth patterns in the U.S. over a decade, demonstrating the effectiveness of Excel as a tool for foundational data analysis and visualization.</w:t>
      </w:r>
    </w:p>
    <w:p w14:paraId="49EDBE9A" w14:textId="6A8569D8" w:rsidR="00B14A04" w:rsidRDefault="00B14A04" w:rsidP="00E82A76">
      <w:pPr>
        <w:jc w:val="both"/>
        <w:rPr>
          <w:rFonts w:ascii="Times New Roman" w:hAnsi="Times New Roman" w:cs="Times New Roman"/>
          <w:sz w:val="24"/>
          <w:szCs w:val="24"/>
        </w:rPr>
      </w:pPr>
      <w:r>
        <w:rPr>
          <w:rFonts w:ascii="Times New Roman" w:hAnsi="Times New Roman" w:cs="Times New Roman"/>
          <w:sz w:val="24"/>
          <w:szCs w:val="24"/>
        </w:rPr>
        <w:t>The analysis has shown that 2003 has the highest number of childbirths while 1997 is year of the least</w:t>
      </w:r>
      <w:r w:rsidR="00E82A76">
        <w:rPr>
          <w:rFonts w:ascii="Times New Roman" w:hAnsi="Times New Roman" w:cs="Times New Roman"/>
          <w:sz w:val="24"/>
          <w:szCs w:val="24"/>
        </w:rPr>
        <w:t xml:space="preserve">. </w:t>
      </w:r>
      <w:r>
        <w:rPr>
          <w:rFonts w:ascii="Times New Roman" w:hAnsi="Times New Roman" w:cs="Times New Roman"/>
          <w:sz w:val="24"/>
          <w:szCs w:val="24"/>
        </w:rPr>
        <w:t>Among the months, August has the highest while February has the least. Monday has the highest frequency with Saturday being the least. This ana</w:t>
      </w:r>
    </w:p>
    <w:p w14:paraId="2FC38789" w14:textId="77777777" w:rsidR="00B14A04" w:rsidRDefault="00B14A04" w:rsidP="00E82A76">
      <w:pPr>
        <w:jc w:val="both"/>
        <w:rPr>
          <w:rFonts w:ascii="Times New Roman" w:hAnsi="Times New Roman" w:cs="Times New Roman"/>
          <w:sz w:val="24"/>
          <w:szCs w:val="24"/>
        </w:rPr>
      </w:pPr>
    </w:p>
    <w:p w14:paraId="6D1D6E6D" w14:textId="77777777" w:rsidR="00D643CD" w:rsidRDefault="00D643CD" w:rsidP="00E82A76">
      <w:pPr>
        <w:ind w:left="360"/>
        <w:jc w:val="both"/>
        <w:rPr>
          <w:rFonts w:ascii="Times New Roman" w:hAnsi="Times New Roman" w:cs="Times New Roman"/>
          <w:sz w:val="24"/>
          <w:szCs w:val="24"/>
        </w:rPr>
      </w:pPr>
    </w:p>
    <w:p w14:paraId="6798358C" w14:textId="77777777" w:rsidR="00D643CD" w:rsidRPr="00D643CD" w:rsidRDefault="00D643CD" w:rsidP="00E82A76">
      <w:pPr>
        <w:ind w:left="360"/>
        <w:jc w:val="both"/>
        <w:rPr>
          <w:rFonts w:ascii="Times New Roman" w:hAnsi="Times New Roman" w:cs="Times New Roman"/>
          <w:sz w:val="24"/>
          <w:szCs w:val="24"/>
        </w:rPr>
      </w:pPr>
    </w:p>
    <w:p w14:paraId="554B3CE3" w14:textId="761C55AE" w:rsidR="00D643CD" w:rsidRPr="00D643CD" w:rsidRDefault="00D643CD" w:rsidP="00E82A76">
      <w:pPr>
        <w:ind w:left="360"/>
        <w:jc w:val="both"/>
        <w:rPr>
          <w:rFonts w:ascii="Times New Roman" w:hAnsi="Times New Roman" w:cs="Times New Roman"/>
          <w:sz w:val="24"/>
          <w:szCs w:val="24"/>
        </w:rPr>
      </w:pPr>
    </w:p>
    <w:sectPr w:rsidR="00D643CD" w:rsidRPr="00D64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0EA4"/>
    <w:multiLevelType w:val="hybridMultilevel"/>
    <w:tmpl w:val="D4CC2F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132319"/>
    <w:multiLevelType w:val="hybridMultilevel"/>
    <w:tmpl w:val="76FAE0E0"/>
    <w:lvl w:ilvl="0" w:tplc="435453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AA0A31"/>
    <w:multiLevelType w:val="hybridMultilevel"/>
    <w:tmpl w:val="4914D1C0"/>
    <w:lvl w:ilvl="0" w:tplc="435453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F851F7"/>
    <w:multiLevelType w:val="hybridMultilevel"/>
    <w:tmpl w:val="48F6864E"/>
    <w:lvl w:ilvl="0" w:tplc="435453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8657D6"/>
    <w:multiLevelType w:val="hybridMultilevel"/>
    <w:tmpl w:val="0BE848AE"/>
    <w:lvl w:ilvl="0" w:tplc="435453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594311"/>
    <w:multiLevelType w:val="hybridMultilevel"/>
    <w:tmpl w:val="5502A96E"/>
    <w:lvl w:ilvl="0" w:tplc="435453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3F1B70"/>
    <w:multiLevelType w:val="multilevel"/>
    <w:tmpl w:val="8B32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F323B"/>
    <w:multiLevelType w:val="hybridMultilevel"/>
    <w:tmpl w:val="61580688"/>
    <w:lvl w:ilvl="0" w:tplc="435453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860292"/>
    <w:multiLevelType w:val="hybridMultilevel"/>
    <w:tmpl w:val="3C5C1D4C"/>
    <w:lvl w:ilvl="0" w:tplc="435453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181F5C"/>
    <w:multiLevelType w:val="multilevel"/>
    <w:tmpl w:val="7FC0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E7CF5"/>
    <w:multiLevelType w:val="hybridMultilevel"/>
    <w:tmpl w:val="17CE9B1E"/>
    <w:lvl w:ilvl="0" w:tplc="45DA1CE6">
      <w:start w:val="1"/>
      <w:numFmt w:val="bullet"/>
      <w:lvlText w:val="•"/>
      <w:lvlJc w:val="left"/>
      <w:pPr>
        <w:tabs>
          <w:tab w:val="num" w:pos="720"/>
        </w:tabs>
        <w:ind w:left="720" w:hanging="360"/>
      </w:pPr>
      <w:rPr>
        <w:rFonts w:ascii="Arial" w:hAnsi="Arial" w:hint="default"/>
      </w:rPr>
    </w:lvl>
    <w:lvl w:ilvl="1" w:tplc="1C02FCE6" w:tentative="1">
      <w:start w:val="1"/>
      <w:numFmt w:val="bullet"/>
      <w:lvlText w:val="•"/>
      <w:lvlJc w:val="left"/>
      <w:pPr>
        <w:tabs>
          <w:tab w:val="num" w:pos="1440"/>
        </w:tabs>
        <w:ind w:left="1440" w:hanging="360"/>
      </w:pPr>
      <w:rPr>
        <w:rFonts w:ascii="Arial" w:hAnsi="Arial" w:hint="default"/>
      </w:rPr>
    </w:lvl>
    <w:lvl w:ilvl="2" w:tplc="A17A40F0" w:tentative="1">
      <w:start w:val="1"/>
      <w:numFmt w:val="bullet"/>
      <w:lvlText w:val="•"/>
      <w:lvlJc w:val="left"/>
      <w:pPr>
        <w:tabs>
          <w:tab w:val="num" w:pos="2160"/>
        </w:tabs>
        <w:ind w:left="2160" w:hanging="360"/>
      </w:pPr>
      <w:rPr>
        <w:rFonts w:ascii="Arial" w:hAnsi="Arial" w:hint="default"/>
      </w:rPr>
    </w:lvl>
    <w:lvl w:ilvl="3" w:tplc="8DBA999A" w:tentative="1">
      <w:start w:val="1"/>
      <w:numFmt w:val="bullet"/>
      <w:lvlText w:val="•"/>
      <w:lvlJc w:val="left"/>
      <w:pPr>
        <w:tabs>
          <w:tab w:val="num" w:pos="2880"/>
        </w:tabs>
        <w:ind w:left="2880" w:hanging="360"/>
      </w:pPr>
      <w:rPr>
        <w:rFonts w:ascii="Arial" w:hAnsi="Arial" w:hint="default"/>
      </w:rPr>
    </w:lvl>
    <w:lvl w:ilvl="4" w:tplc="3C9EC1AA" w:tentative="1">
      <w:start w:val="1"/>
      <w:numFmt w:val="bullet"/>
      <w:lvlText w:val="•"/>
      <w:lvlJc w:val="left"/>
      <w:pPr>
        <w:tabs>
          <w:tab w:val="num" w:pos="3600"/>
        </w:tabs>
        <w:ind w:left="3600" w:hanging="360"/>
      </w:pPr>
      <w:rPr>
        <w:rFonts w:ascii="Arial" w:hAnsi="Arial" w:hint="default"/>
      </w:rPr>
    </w:lvl>
    <w:lvl w:ilvl="5" w:tplc="33246524" w:tentative="1">
      <w:start w:val="1"/>
      <w:numFmt w:val="bullet"/>
      <w:lvlText w:val="•"/>
      <w:lvlJc w:val="left"/>
      <w:pPr>
        <w:tabs>
          <w:tab w:val="num" w:pos="4320"/>
        </w:tabs>
        <w:ind w:left="4320" w:hanging="360"/>
      </w:pPr>
      <w:rPr>
        <w:rFonts w:ascii="Arial" w:hAnsi="Arial" w:hint="default"/>
      </w:rPr>
    </w:lvl>
    <w:lvl w:ilvl="6" w:tplc="729AD9D6" w:tentative="1">
      <w:start w:val="1"/>
      <w:numFmt w:val="bullet"/>
      <w:lvlText w:val="•"/>
      <w:lvlJc w:val="left"/>
      <w:pPr>
        <w:tabs>
          <w:tab w:val="num" w:pos="5040"/>
        </w:tabs>
        <w:ind w:left="5040" w:hanging="360"/>
      </w:pPr>
      <w:rPr>
        <w:rFonts w:ascii="Arial" w:hAnsi="Arial" w:hint="default"/>
      </w:rPr>
    </w:lvl>
    <w:lvl w:ilvl="7" w:tplc="78584446" w:tentative="1">
      <w:start w:val="1"/>
      <w:numFmt w:val="bullet"/>
      <w:lvlText w:val="•"/>
      <w:lvlJc w:val="left"/>
      <w:pPr>
        <w:tabs>
          <w:tab w:val="num" w:pos="5760"/>
        </w:tabs>
        <w:ind w:left="5760" w:hanging="360"/>
      </w:pPr>
      <w:rPr>
        <w:rFonts w:ascii="Arial" w:hAnsi="Arial" w:hint="default"/>
      </w:rPr>
    </w:lvl>
    <w:lvl w:ilvl="8" w:tplc="A50E87E8" w:tentative="1">
      <w:start w:val="1"/>
      <w:numFmt w:val="bullet"/>
      <w:lvlText w:val="•"/>
      <w:lvlJc w:val="left"/>
      <w:pPr>
        <w:tabs>
          <w:tab w:val="num" w:pos="6480"/>
        </w:tabs>
        <w:ind w:left="6480" w:hanging="360"/>
      </w:pPr>
      <w:rPr>
        <w:rFonts w:ascii="Arial" w:hAnsi="Arial" w:hint="default"/>
      </w:rPr>
    </w:lvl>
  </w:abstractNum>
  <w:num w:numId="1" w16cid:durableId="1917663016">
    <w:abstractNumId w:val="9"/>
  </w:num>
  <w:num w:numId="2" w16cid:durableId="631637352">
    <w:abstractNumId w:val="10"/>
  </w:num>
  <w:num w:numId="3" w16cid:durableId="801191003">
    <w:abstractNumId w:val="6"/>
  </w:num>
  <w:num w:numId="4" w16cid:durableId="1803427394">
    <w:abstractNumId w:val="0"/>
  </w:num>
  <w:num w:numId="5" w16cid:durableId="87894202">
    <w:abstractNumId w:val="8"/>
  </w:num>
  <w:num w:numId="6" w16cid:durableId="270282523">
    <w:abstractNumId w:val="7"/>
  </w:num>
  <w:num w:numId="7" w16cid:durableId="788086221">
    <w:abstractNumId w:val="3"/>
  </w:num>
  <w:num w:numId="8" w16cid:durableId="438718343">
    <w:abstractNumId w:val="5"/>
  </w:num>
  <w:num w:numId="9" w16cid:durableId="1720012416">
    <w:abstractNumId w:val="4"/>
  </w:num>
  <w:num w:numId="10" w16cid:durableId="1906449870">
    <w:abstractNumId w:val="2"/>
  </w:num>
  <w:num w:numId="11" w16cid:durableId="826363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D68"/>
    <w:rsid w:val="0034319A"/>
    <w:rsid w:val="005D1AFE"/>
    <w:rsid w:val="007031D8"/>
    <w:rsid w:val="00834E7E"/>
    <w:rsid w:val="008669CE"/>
    <w:rsid w:val="00940DEA"/>
    <w:rsid w:val="009B16FF"/>
    <w:rsid w:val="00A540CE"/>
    <w:rsid w:val="00B14A04"/>
    <w:rsid w:val="00BC2267"/>
    <w:rsid w:val="00D41D68"/>
    <w:rsid w:val="00D643CD"/>
    <w:rsid w:val="00E82A76"/>
    <w:rsid w:val="00F303B6"/>
    <w:rsid w:val="00F50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1B5B"/>
  <w15:chartTrackingRefBased/>
  <w15:docId w15:val="{CD4173EC-FE2E-4B28-9A14-B50F2C1F7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D68"/>
  </w:style>
  <w:style w:type="paragraph" w:styleId="Heading1">
    <w:name w:val="heading 1"/>
    <w:basedOn w:val="Normal"/>
    <w:next w:val="Normal"/>
    <w:link w:val="Heading1Char"/>
    <w:uiPriority w:val="9"/>
    <w:qFormat/>
    <w:rsid w:val="00D41D6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41D6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41D6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41D6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41D6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41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D6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41D6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41D6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41D6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41D6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41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D68"/>
    <w:rPr>
      <w:rFonts w:eastAsiaTheme="majorEastAsia" w:cstheme="majorBidi"/>
      <w:color w:val="272727" w:themeColor="text1" w:themeTint="D8"/>
    </w:rPr>
  </w:style>
  <w:style w:type="paragraph" w:styleId="Title">
    <w:name w:val="Title"/>
    <w:basedOn w:val="Normal"/>
    <w:next w:val="Normal"/>
    <w:link w:val="TitleChar"/>
    <w:uiPriority w:val="10"/>
    <w:qFormat/>
    <w:rsid w:val="00D41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D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D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1D68"/>
    <w:rPr>
      <w:i/>
      <w:iCs/>
      <w:color w:val="404040" w:themeColor="text1" w:themeTint="BF"/>
    </w:rPr>
  </w:style>
  <w:style w:type="paragraph" w:styleId="ListParagraph">
    <w:name w:val="List Paragraph"/>
    <w:basedOn w:val="Normal"/>
    <w:uiPriority w:val="34"/>
    <w:qFormat/>
    <w:rsid w:val="00D41D68"/>
    <w:pPr>
      <w:ind w:left="720"/>
      <w:contextualSpacing/>
    </w:pPr>
  </w:style>
  <w:style w:type="character" w:styleId="IntenseEmphasis">
    <w:name w:val="Intense Emphasis"/>
    <w:basedOn w:val="DefaultParagraphFont"/>
    <w:uiPriority w:val="21"/>
    <w:qFormat/>
    <w:rsid w:val="00D41D68"/>
    <w:rPr>
      <w:i/>
      <w:iCs/>
      <w:color w:val="365F91" w:themeColor="accent1" w:themeShade="BF"/>
    </w:rPr>
  </w:style>
  <w:style w:type="paragraph" w:styleId="IntenseQuote">
    <w:name w:val="Intense Quote"/>
    <w:basedOn w:val="Normal"/>
    <w:next w:val="Normal"/>
    <w:link w:val="IntenseQuoteChar"/>
    <w:uiPriority w:val="30"/>
    <w:qFormat/>
    <w:rsid w:val="00D41D6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41D68"/>
    <w:rPr>
      <w:i/>
      <w:iCs/>
      <w:color w:val="365F91" w:themeColor="accent1" w:themeShade="BF"/>
    </w:rPr>
  </w:style>
  <w:style w:type="character" w:styleId="IntenseReference">
    <w:name w:val="Intense Reference"/>
    <w:basedOn w:val="DefaultParagraphFont"/>
    <w:uiPriority w:val="32"/>
    <w:qFormat/>
    <w:rsid w:val="00D41D6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P\Downloads\US_births_1994-2003_CDC_NC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Downloads\US_births_1994-2003_CDC_NCH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1" Type="http://schemas.openxmlformats.org/officeDocument/2006/relationships/oleObject" Target="file:///C:\Users\HP\Downloads\US_births_1994-2003_CDC_NCHS.xlsx" TargetMode="External"/></Relationships>
</file>

<file path=word/charts/_rels/chart4.xml.rels><?xml version="1.0" encoding="UTF-8" standalone="yes"?>
<Relationships xmlns="http://schemas.openxmlformats.org/package/2006/relationships"><Relationship Id="rId3" Type="http://schemas.openxmlformats.org/officeDocument/2006/relationships/oleObject" Target="file:///C:\Users\HP\Downloads\US_births_1994-2003_CDC_NCH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[US_births_1994-2003_CDC_NCHS.xlsx]Sheet1!PivotTable1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Child</a:t>
            </a:r>
            <a:r>
              <a:rPr lang="en-US" baseline="0"/>
              <a:t> Births by Year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Sheet1!$A$4:$A$13</c:f>
              <c:strCache>
                <c:ptCount val="10"/>
                <c:pt idx="0">
                  <c:v>1994</c:v>
                </c:pt>
                <c:pt idx="1">
                  <c:v>1995</c:v>
                </c:pt>
                <c:pt idx="2">
                  <c:v>1996</c:v>
                </c:pt>
                <c:pt idx="3">
                  <c:v>1997</c:v>
                </c:pt>
                <c:pt idx="4">
                  <c:v>1998</c:v>
                </c:pt>
                <c:pt idx="5">
                  <c:v>1999</c:v>
                </c:pt>
                <c:pt idx="6">
                  <c:v>2000</c:v>
                </c:pt>
                <c:pt idx="7">
                  <c:v>2001</c:v>
                </c:pt>
                <c:pt idx="8">
                  <c:v>2002</c:v>
                </c:pt>
                <c:pt idx="9">
                  <c:v>2003</c:v>
                </c:pt>
              </c:strCache>
            </c:strRef>
          </c:cat>
          <c:val>
            <c:numRef>
              <c:f>Sheet1!$B$4:$B$13</c:f>
              <c:numCache>
                <c:formatCode>General</c:formatCode>
                <c:ptCount val="10"/>
                <c:pt idx="0">
                  <c:v>3952767</c:v>
                </c:pt>
                <c:pt idx="1">
                  <c:v>3899589</c:v>
                </c:pt>
                <c:pt idx="2">
                  <c:v>3891494</c:v>
                </c:pt>
                <c:pt idx="3">
                  <c:v>3880894</c:v>
                </c:pt>
                <c:pt idx="4">
                  <c:v>3941553</c:v>
                </c:pt>
                <c:pt idx="5">
                  <c:v>3959417</c:v>
                </c:pt>
                <c:pt idx="6">
                  <c:v>4058814</c:v>
                </c:pt>
                <c:pt idx="7">
                  <c:v>4025933</c:v>
                </c:pt>
                <c:pt idx="8">
                  <c:v>4021726</c:v>
                </c:pt>
                <c:pt idx="9">
                  <c:v>4089950</c:v>
                </c:pt>
              </c:numCache>
            </c:numRef>
          </c:val>
          <c:extLst>
            <c:ext xmlns:c16="http://schemas.microsoft.com/office/drawing/2014/chart" uri="{C3380CC4-5D6E-409C-BE32-E72D297353CC}">
              <c16:uniqueId val="{00000000-35C6-41CE-9116-2369F58B1F88}"/>
            </c:ext>
          </c:extLst>
        </c:ser>
        <c:dLbls>
          <c:dLblPos val="outEnd"/>
          <c:showLegendKey val="0"/>
          <c:showVal val="1"/>
          <c:showCatName val="0"/>
          <c:showSerName val="0"/>
          <c:showPercent val="0"/>
          <c:showBubbleSize val="0"/>
        </c:dLbls>
        <c:gapWidth val="219"/>
        <c:overlap val="-27"/>
        <c:axId val="533560816"/>
        <c:axId val="533561520"/>
      </c:barChart>
      <c:catAx>
        <c:axId val="533560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3561520"/>
        <c:crosses val="autoZero"/>
        <c:auto val="1"/>
        <c:lblAlgn val="ctr"/>
        <c:lblOffset val="100"/>
        <c:noMultiLvlLbl val="0"/>
      </c:catAx>
      <c:valAx>
        <c:axId val="533561520"/>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53356081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[US_births_1994-2003_CDC_NCHS.xlsx]Sheet1!PivotTable2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Child</a:t>
            </a:r>
            <a:r>
              <a:rPr lang="en-US" baseline="0"/>
              <a:t> Births by Month</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pivotFmt>
      <c:pivotFmt>
        <c:idx val="2"/>
        <c:spPr>
          <a:solidFill>
            <a:schemeClr val="accent1"/>
          </a:solidFill>
          <a:ln>
            <a:noFill/>
          </a:ln>
          <a:effectLst/>
        </c:spPr>
      </c:pivotFmt>
      <c:pivotFmt>
        <c:idx val="3"/>
        <c:spPr>
          <a:solidFill>
            <a:schemeClr val="accent1"/>
          </a:solidFill>
          <a:ln>
            <a:noFill/>
          </a:ln>
          <a:effectLst/>
        </c:spPr>
      </c:pivotFmt>
      <c:pivotFmt>
        <c:idx val="4"/>
        <c:spPr>
          <a:solidFill>
            <a:schemeClr val="accent1"/>
          </a:solidFill>
          <a:ln>
            <a:noFill/>
          </a:ln>
          <a:effectLst/>
        </c:spPr>
      </c:pivotFmt>
      <c:pivotFmt>
        <c:idx val="5"/>
        <c:spPr>
          <a:solidFill>
            <a:schemeClr val="accent1"/>
          </a:solidFill>
          <a:ln>
            <a:noFill/>
          </a:ln>
          <a:effectLst/>
        </c:spPr>
      </c:pivotFmt>
      <c:pivotFmt>
        <c:idx val="6"/>
        <c:spPr>
          <a:solidFill>
            <a:schemeClr val="accent1"/>
          </a:solidFill>
          <a:ln>
            <a:noFill/>
          </a:ln>
          <a:effectLst/>
        </c:spPr>
      </c:pivotFmt>
      <c:pivotFmt>
        <c:idx val="7"/>
        <c:spPr>
          <a:solidFill>
            <a:schemeClr val="accent1"/>
          </a:solidFill>
          <a:ln>
            <a:noFill/>
          </a:ln>
          <a:effectLst/>
        </c:spPr>
      </c:pivotFmt>
      <c:pivotFmt>
        <c:idx val="8"/>
        <c:spPr>
          <a:solidFill>
            <a:schemeClr val="accent1"/>
          </a:solidFill>
          <a:ln>
            <a:noFill/>
          </a:ln>
          <a:effectLst/>
        </c:spPr>
      </c:pivotFmt>
      <c:pivotFmt>
        <c:idx val="9"/>
        <c:spPr>
          <a:solidFill>
            <a:schemeClr val="accent1"/>
          </a:solidFill>
          <a:ln>
            <a:noFill/>
          </a:ln>
          <a:effectLst/>
        </c:spPr>
      </c:pivotFmt>
      <c:pivotFmt>
        <c:idx val="10"/>
        <c:spPr>
          <a:solidFill>
            <a:schemeClr val="accent1"/>
          </a:solidFill>
          <a:ln>
            <a:noFill/>
          </a:ln>
          <a:effectLst/>
        </c:spPr>
      </c:pivotFmt>
      <c:pivotFmt>
        <c:idx val="11"/>
        <c:spPr>
          <a:solidFill>
            <a:schemeClr val="accent1"/>
          </a:solidFill>
          <a:ln>
            <a:noFill/>
          </a:ln>
          <a:effectLst/>
        </c:spPr>
      </c:pivotFmt>
      <c:pivotFmt>
        <c:idx val="12"/>
        <c:spPr>
          <a:solidFill>
            <a:schemeClr val="accent1"/>
          </a:solidFill>
          <a:ln>
            <a:noFill/>
          </a:ln>
          <a:effectLst/>
        </c:spPr>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pivotFmt>
      <c:pivotFmt>
        <c:idx val="15"/>
        <c:spPr>
          <a:solidFill>
            <a:schemeClr val="accent1"/>
          </a:solidFill>
          <a:ln>
            <a:noFill/>
          </a:ln>
          <a:effectLst/>
        </c:spPr>
      </c:pivotFmt>
      <c:pivotFmt>
        <c:idx val="16"/>
        <c:spPr>
          <a:solidFill>
            <a:schemeClr val="accent1"/>
          </a:solidFill>
          <a:ln>
            <a:noFill/>
          </a:ln>
          <a:effectLst/>
        </c:spPr>
      </c:pivotFmt>
      <c:pivotFmt>
        <c:idx val="17"/>
        <c:spPr>
          <a:solidFill>
            <a:schemeClr val="accent1"/>
          </a:solidFill>
          <a:ln>
            <a:noFill/>
          </a:ln>
          <a:effectLst/>
        </c:spPr>
      </c:pivotFmt>
      <c:pivotFmt>
        <c:idx val="18"/>
        <c:spPr>
          <a:solidFill>
            <a:schemeClr val="accent1"/>
          </a:solidFill>
          <a:ln>
            <a:noFill/>
          </a:ln>
          <a:effectLst/>
        </c:spPr>
      </c:pivotFmt>
      <c:pivotFmt>
        <c:idx val="19"/>
        <c:spPr>
          <a:solidFill>
            <a:schemeClr val="accent1"/>
          </a:solidFill>
          <a:ln>
            <a:noFill/>
          </a:ln>
          <a:effectLst/>
        </c:spPr>
      </c:pivotFmt>
      <c:pivotFmt>
        <c:idx val="20"/>
        <c:spPr>
          <a:solidFill>
            <a:schemeClr val="accent1"/>
          </a:solidFill>
          <a:ln>
            <a:noFill/>
          </a:ln>
          <a:effectLst/>
        </c:spPr>
      </c:pivotFmt>
      <c:pivotFmt>
        <c:idx val="21"/>
        <c:spPr>
          <a:solidFill>
            <a:schemeClr val="accent1"/>
          </a:solidFill>
          <a:ln>
            <a:noFill/>
          </a:ln>
          <a:effectLst/>
        </c:spPr>
      </c:pivotFmt>
      <c:pivotFmt>
        <c:idx val="22"/>
        <c:spPr>
          <a:solidFill>
            <a:schemeClr val="accent1"/>
          </a:solidFill>
          <a:ln>
            <a:noFill/>
          </a:ln>
          <a:effectLst/>
        </c:spPr>
      </c:pivotFmt>
      <c:pivotFmt>
        <c:idx val="23"/>
        <c:spPr>
          <a:solidFill>
            <a:schemeClr val="accent1"/>
          </a:solidFill>
          <a:ln>
            <a:noFill/>
          </a:ln>
          <a:effectLst/>
        </c:spPr>
      </c:pivotFmt>
      <c:pivotFmt>
        <c:idx val="24"/>
        <c:spPr>
          <a:solidFill>
            <a:schemeClr val="accent1"/>
          </a:solidFill>
          <a:ln>
            <a:noFill/>
          </a:ln>
          <a:effectLst/>
        </c:spPr>
      </c:pivotFmt>
      <c:pivotFmt>
        <c:idx val="25"/>
        <c:spPr>
          <a:solidFill>
            <a:schemeClr val="accent1"/>
          </a:solidFill>
          <a:ln>
            <a:noFill/>
          </a:ln>
          <a:effectLst/>
        </c:spPr>
      </c:pivotFmt>
      <c:pivotFmt>
        <c:idx val="2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a:noFill/>
          </a:ln>
          <a:effectLst/>
        </c:spPr>
      </c:pivotFmt>
      <c:pivotFmt>
        <c:idx val="28"/>
        <c:spPr>
          <a:solidFill>
            <a:schemeClr val="accent1"/>
          </a:solidFill>
          <a:ln>
            <a:noFill/>
          </a:ln>
          <a:effectLst/>
        </c:spPr>
      </c:pivotFmt>
      <c:pivotFmt>
        <c:idx val="29"/>
        <c:spPr>
          <a:solidFill>
            <a:schemeClr val="accent1"/>
          </a:solidFill>
          <a:ln>
            <a:noFill/>
          </a:ln>
          <a:effectLst/>
        </c:spPr>
      </c:pivotFmt>
      <c:pivotFmt>
        <c:idx val="30"/>
        <c:spPr>
          <a:solidFill>
            <a:schemeClr val="accent1"/>
          </a:solidFill>
          <a:ln>
            <a:noFill/>
          </a:ln>
          <a:effectLst/>
        </c:spPr>
      </c:pivotFmt>
      <c:pivotFmt>
        <c:idx val="31"/>
        <c:spPr>
          <a:solidFill>
            <a:schemeClr val="accent1"/>
          </a:solidFill>
          <a:ln>
            <a:noFill/>
          </a:ln>
          <a:effectLst/>
        </c:spPr>
      </c:pivotFmt>
      <c:pivotFmt>
        <c:idx val="32"/>
        <c:spPr>
          <a:solidFill>
            <a:schemeClr val="accent1"/>
          </a:solidFill>
          <a:ln>
            <a:noFill/>
          </a:ln>
          <a:effectLst/>
        </c:spPr>
      </c:pivotFmt>
      <c:pivotFmt>
        <c:idx val="33"/>
        <c:spPr>
          <a:solidFill>
            <a:schemeClr val="accent1"/>
          </a:solidFill>
          <a:ln>
            <a:noFill/>
          </a:ln>
          <a:effectLst/>
        </c:spPr>
      </c:pivotFmt>
      <c:pivotFmt>
        <c:idx val="34"/>
        <c:spPr>
          <a:solidFill>
            <a:schemeClr val="accent1"/>
          </a:solidFill>
          <a:ln>
            <a:noFill/>
          </a:ln>
          <a:effectLst/>
        </c:spPr>
      </c:pivotFmt>
      <c:pivotFmt>
        <c:idx val="35"/>
        <c:spPr>
          <a:solidFill>
            <a:schemeClr val="accent1"/>
          </a:solidFill>
          <a:ln>
            <a:noFill/>
          </a:ln>
          <a:effectLst/>
        </c:spPr>
      </c:pivotFmt>
      <c:pivotFmt>
        <c:idx val="36"/>
        <c:spPr>
          <a:solidFill>
            <a:schemeClr val="accent1"/>
          </a:solidFill>
          <a:ln>
            <a:noFill/>
          </a:ln>
          <a:effectLst/>
        </c:spPr>
      </c:pivotFmt>
      <c:pivotFmt>
        <c:idx val="37"/>
        <c:spPr>
          <a:solidFill>
            <a:schemeClr val="accent1"/>
          </a:solidFill>
          <a:ln>
            <a:noFill/>
          </a:ln>
          <a:effectLst/>
        </c:spPr>
      </c:pivotFmt>
      <c:pivotFmt>
        <c:idx val="38"/>
        <c:spPr>
          <a:solidFill>
            <a:schemeClr val="accent1"/>
          </a:solidFill>
          <a:ln>
            <a:noFill/>
          </a:ln>
          <a:effectLst/>
        </c:spPr>
      </c:pivotFmt>
    </c:pivotFmts>
    <c:plotArea>
      <c:layout/>
      <c:barChart>
        <c:barDir val="bar"/>
        <c:grouping val="clustered"/>
        <c:varyColors val="1"/>
        <c:ser>
          <c:idx val="0"/>
          <c:order val="0"/>
          <c:tx>
            <c:strRef>
              <c:f>Sheet1!$N$2</c:f>
              <c:strCache>
                <c:ptCount val="1"/>
                <c:pt idx="0">
                  <c:v>Total</c:v>
                </c:pt>
              </c:strCache>
            </c:strRef>
          </c:tx>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59DF-4046-8409-512BAC6E108C}"/>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3-59DF-4046-8409-512BAC6E108C}"/>
              </c:ext>
            </c:extLst>
          </c:dPt>
          <c:dPt>
            <c:idx val="2"/>
            <c:invertIfNegative val="0"/>
            <c:bubble3D val="0"/>
            <c:spPr>
              <a:solidFill>
                <a:schemeClr val="accent3"/>
              </a:solidFill>
              <a:ln>
                <a:noFill/>
              </a:ln>
              <a:effectLst/>
            </c:spPr>
            <c:extLst>
              <c:ext xmlns:c16="http://schemas.microsoft.com/office/drawing/2014/chart" uri="{C3380CC4-5D6E-409C-BE32-E72D297353CC}">
                <c16:uniqueId val="{00000005-59DF-4046-8409-512BAC6E108C}"/>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7-59DF-4046-8409-512BAC6E108C}"/>
              </c:ext>
            </c:extLst>
          </c:dPt>
          <c:dPt>
            <c:idx val="4"/>
            <c:invertIfNegative val="0"/>
            <c:bubble3D val="0"/>
            <c:spPr>
              <a:solidFill>
                <a:schemeClr val="accent5"/>
              </a:solidFill>
              <a:ln>
                <a:noFill/>
              </a:ln>
              <a:effectLst/>
            </c:spPr>
            <c:extLst>
              <c:ext xmlns:c16="http://schemas.microsoft.com/office/drawing/2014/chart" uri="{C3380CC4-5D6E-409C-BE32-E72D297353CC}">
                <c16:uniqueId val="{00000009-59DF-4046-8409-512BAC6E108C}"/>
              </c:ext>
            </c:extLst>
          </c:dPt>
          <c:dPt>
            <c:idx val="5"/>
            <c:invertIfNegative val="0"/>
            <c:bubble3D val="0"/>
            <c:spPr>
              <a:solidFill>
                <a:schemeClr val="accent6"/>
              </a:solidFill>
              <a:ln>
                <a:noFill/>
              </a:ln>
              <a:effectLst/>
            </c:spPr>
            <c:extLst>
              <c:ext xmlns:c16="http://schemas.microsoft.com/office/drawing/2014/chart" uri="{C3380CC4-5D6E-409C-BE32-E72D297353CC}">
                <c16:uniqueId val="{0000000B-59DF-4046-8409-512BAC6E108C}"/>
              </c:ext>
            </c:extLst>
          </c:dPt>
          <c:dPt>
            <c:idx val="6"/>
            <c:invertIfNegative val="0"/>
            <c:bubble3D val="0"/>
            <c:spPr>
              <a:solidFill>
                <a:schemeClr val="accent1">
                  <a:lumMod val="60000"/>
                </a:schemeClr>
              </a:solidFill>
              <a:ln>
                <a:noFill/>
              </a:ln>
              <a:effectLst/>
            </c:spPr>
            <c:extLst>
              <c:ext xmlns:c16="http://schemas.microsoft.com/office/drawing/2014/chart" uri="{C3380CC4-5D6E-409C-BE32-E72D297353CC}">
                <c16:uniqueId val="{0000000D-59DF-4046-8409-512BAC6E108C}"/>
              </c:ext>
            </c:extLst>
          </c:dPt>
          <c:dPt>
            <c:idx val="7"/>
            <c:invertIfNegative val="0"/>
            <c:bubble3D val="0"/>
            <c:spPr>
              <a:solidFill>
                <a:schemeClr val="accent2">
                  <a:lumMod val="60000"/>
                </a:schemeClr>
              </a:solidFill>
              <a:ln>
                <a:noFill/>
              </a:ln>
              <a:effectLst/>
            </c:spPr>
            <c:extLst>
              <c:ext xmlns:c16="http://schemas.microsoft.com/office/drawing/2014/chart" uri="{C3380CC4-5D6E-409C-BE32-E72D297353CC}">
                <c16:uniqueId val="{0000000F-59DF-4046-8409-512BAC6E108C}"/>
              </c:ext>
            </c:extLst>
          </c:dPt>
          <c:dPt>
            <c:idx val="8"/>
            <c:invertIfNegative val="0"/>
            <c:bubble3D val="0"/>
            <c:spPr>
              <a:solidFill>
                <a:schemeClr val="accent3">
                  <a:lumMod val="60000"/>
                </a:schemeClr>
              </a:solidFill>
              <a:ln>
                <a:noFill/>
              </a:ln>
              <a:effectLst/>
            </c:spPr>
            <c:extLst>
              <c:ext xmlns:c16="http://schemas.microsoft.com/office/drawing/2014/chart" uri="{C3380CC4-5D6E-409C-BE32-E72D297353CC}">
                <c16:uniqueId val="{00000011-59DF-4046-8409-512BAC6E108C}"/>
              </c:ext>
            </c:extLst>
          </c:dPt>
          <c:dPt>
            <c:idx val="9"/>
            <c:invertIfNegative val="0"/>
            <c:bubble3D val="0"/>
            <c:spPr>
              <a:solidFill>
                <a:schemeClr val="accent4">
                  <a:lumMod val="60000"/>
                </a:schemeClr>
              </a:solidFill>
              <a:ln>
                <a:noFill/>
              </a:ln>
              <a:effectLst/>
            </c:spPr>
            <c:extLst>
              <c:ext xmlns:c16="http://schemas.microsoft.com/office/drawing/2014/chart" uri="{C3380CC4-5D6E-409C-BE32-E72D297353CC}">
                <c16:uniqueId val="{00000013-59DF-4046-8409-512BAC6E108C}"/>
              </c:ext>
            </c:extLst>
          </c:dPt>
          <c:dPt>
            <c:idx val="10"/>
            <c:invertIfNegative val="0"/>
            <c:bubble3D val="0"/>
            <c:spPr>
              <a:solidFill>
                <a:schemeClr val="accent5">
                  <a:lumMod val="60000"/>
                </a:schemeClr>
              </a:solidFill>
              <a:ln>
                <a:noFill/>
              </a:ln>
              <a:effectLst/>
            </c:spPr>
            <c:extLst>
              <c:ext xmlns:c16="http://schemas.microsoft.com/office/drawing/2014/chart" uri="{C3380CC4-5D6E-409C-BE32-E72D297353CC}">
                <c16:uniqueId val="{00000015-59DF-4046-8409-512BAC6E108C}"/>
              </c:ext>
            </c:extLst>
          </c:dPt>
          <c:dPt>
            <c:idx val="11"/>
            <c:invertIfNegative val="0"/>
            <c:bubble3D val="0"/>
            <c:spPr>
              <a:solidFill>
                <a:schemeClr val="accent6">
                  <a:lumMod val="60000"/>
                </a:schemeClr>
              </a:solidFill>
              <a:ln>
                <a:noFill/>
              </a:ln>
              <a:effectLst/>
            </c:spPr>
            <c:extLst>
              <c:ext xmlns:c16="http://schemas.microsoft.com/office/drawing/2014/chart" uri="{C3380CC4-5D6E-409C-BE32-E72D297353CC}">
                <c16:uniqueId val="{00000017-59DF-4046-8409-512BAC6E108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Sheet1!$M$3:$M$14</c:f>
              <c:strCache>
                <c:ptCount val="12"/>
                <c:pt idx="0">
                  <c:v>1</c:v>
                </c:pt>
                <c:pt idx="1">
                  <c:v>2</c:v>
                </c:pt>
                <c:pt idx="2">
                  <c:v>3</c:v>
                </c:pt>
                <c:pt idx="3">
                  <c:v>4</c:v>
                </c:pt>
                <c:pt idx="4">
                  <c:v>5</c:v>
                </c:pt>
                <c:pt idx="5">
                  <c:v>6</c:v>
                </c:pt>
                <c:pt idx="6">
                  <c:v>7</c:v>
                </c:pt>
                <c:pt idx="7">
                  <c:v>8</c:v>
                </c:pt>
                <c:pt idx="8">
                  <c:v>9</c:v>
                </c:pt>
                <c:pt idx="9">
                  <c:v>10</c:v>
                </c:pt>
                <c:pt idx="10">
                  <c:v>11</c:v>
                </c:pt>
                <c:pt idx="11">
                  <c:v>12</c:v>
                </c:pt>
              </c:strCache>
            </c:strRef>
          </c:cat>
          <c:val>
            <c:numRef>
              <c:f>Sheet1!$N$3:$N$14</c:f>
              <c:numCache>
                <c:formatCode>General</c:formatCode>
                <c:ptCount val="12"/>
                <c:pt idx="0">
                  <c:v>3232517</c:v>
                </c:pt>
                <c:pt idx="1">
                  <c:v>3018140</c:v>
                </c:pt>
                <c:pt idx="2">
                  <c:v>3322069</c:v>
                </c:pt>
                <c:pt idx="3">
                  <c:v>3185314</c:v>
                </c:pt>
                <c:pt idx="4">
                  <c:v>3350907</c:v>
                </c:pt>
                <c:pt idx="5">
                  <c:v>3296530</c:v>
                </c:pt>
                <c:pt idx="6">
                  <c:v>3498783</c:v>
                </c:pt>
                <c:pt idx="7">
                  <c:v>3525858</c:v>
                </c:pt>
                <c:pt idx="8">
                  <c:v>3439698</c:v>
                </c:pt>
                <c:pt idx="9">
                  <c:v>3378814</c:v>
                </c:pt>
                <c:pt idx="10">
                  <c:v>3171647</c:v>
                </c:pt>
                <c:pt idx="11">
                  <c:v>3301860</c:v>
                </c:pt>
              </c:numCache>
            </c:numRef>
          </c:val>
          <c:extLst>
            <c:ext xmlns:c16="http://schemas.microsoft.com/office/drawing/2014/chart" uri="{C3380CC4-5D6E-409C-BE32-E72D297353CC}">
              <c16:uniqueId val="{00000018-59DF-4046-8409-512BAC6E108C}"/>
            </c:ext>
          </c:extLst>
        </c:ser>
        <c:dLbls>
          <c:dLblPos val="outEnd"/>
          <c:showLegendKey val="0"/>
          <c:showVal val="1"/>
          <c:showCatName val="0"/>
          <c:showSerName val="0"/>
          <c:showPercent val="0"/>
          <c:showBubbleSize val="0"/>
        </c:dLbls>
        <c:gapWidth val="219"/>
        <c:axId val="619701680"/>
        <c:axId val="619705200"/>
      </c:barChart>
      <c:catAx>
        <c:axId val="6197016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9705200"/>
        <c:crosses val="autoZero"/>
        <c:auto val="1"/>
        <c:lblAlgn val="ctr"/>
        <c:lblOffset val="100"/>
        <c:noMultiLvlLbl val="0"/>
      </c:catAx>
      <c:valAx>
        <c:axId val="619705200"/>
        <c:scaling>
          <c:orientation val="minMax"/>
        </c:scaling>
        <c:delete val="1"/>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6197016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[US_births_1994-2003_CDC_NCHS.xlsx]Sheet1!PivotTable3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Date</a:t>
            </a:r>
            <a:r>
              <a:rPr lang="en-US" baseline="0"/>
              <a:t> of the Month by Births</a:t>
            </a:r>
            <a:endParaRPr lang="en-US"/>
          </a:p>
        </c:rich>
      </c:tx>
      <c:overlay val="0"/>
      <c:spPr>
        <a:noFill/>
        <a:ln>
          <a:noFill/>
        </a:ln>
        <a:effectLst/>
      </c:spPr>
    </c:title>
    <c:autoTitleDeleted val="0"/>
    <c:pivotFmts>
      <c:pivotFmt>
        <c:idx val="0"/>
        <c:spPr>
          <a:solidFill>
            <a:schemeClr val="accent1"/>
          </a:solidFill>
          <a:ln w="28575" cap="rnd">
            <a:solidFill>
              <a:schemeClr val="accent1"/>
            </a:solidFill>
            <a:round/>
          </a:ln>
          <a:effectLst/>
        </c:spPr>
        <c:marker>
          <c:symbol val="circle"/>
          <c:size val="5"/>
        </c:marker>
        <c:dLbl>
          <c:idx val="0"/>
          <c:delete val="1"/>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2"/>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
        <c:idx val="3"/>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pivotFmt>
      <c:pivotFmt>
        <c:idx val="4"/>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pivotFmt>
      <c:pivotFmt>
        <c:idx val="5"/>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pivotFmt>
      <c:pivotFmt>
        <c:idx val="6"/>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pivotFmt>
      <c:pivotFmt>
        <c:idx val="7"/>
        <c:spPr>
          <a:solidFill>
            <a:schemeClr val="accent1"/>
          </a:solidFill>
          <a:ln w="28575" cap="rnd">
            <a:solidFill>
              <a:schemeClr val="accent1"/>
            </a:solidFill>
            <a:round/>
          </a:ln>
          <a:effectLst/>
        </c:spPr>
        <c:marker>
          <c:symbol val="circle"/>
          <c:size val="5"/>
          <c:spPr>
            <a:solidFill>
              <a:schemeClr val="accent1">
                <a:lumMod val="60000"/>
              </a:schemeClr>
            </a:solidFill>
            <a:ln w="9525">
              <a:solidFill>
                <a:schemeClr val="accent1">
                  <a:lumMod val="60000"/>
                </a:schemeClr>
              </a:solidFill>
            </a:ln>
            <a:effectLst/>
          </c:spPr>
        </c:marker>
      </c:pivotFmt>
      <c:pivotFmt>
        <c:idx val="8"/>
        <c:spPr>
          <a:solidFill>
            <a:schemeClr val="accent1"/>
          </a:solidFill>
          <a:ln w="28575" cap="rnd">
            <a:solidFill>
              <a:schemeClr val="accent1"/>
            </a:solidFill>
            <a:round/>
          </a:ln>
          <a:effectLst/>
        </c:spPr>
        <c:marker>
          <c:symbol val="circle"/>
          <c:size val="5"/>
          <c:spPr>
            <a:solidFill>
              <a:schemeClr val="accent2">
                <a:lumMod val="60000"/>
              </a:schemeClr>
            </a:solidFill>
            <a:ln w="9525">
              <a:solidFill>
                <a:schemeClr val="accent2">
                  <a:lumMod val="60000"/>
                </a:schemeClr>
              </a:solidFill>
            </a:ln>
            <a:effectLst/>
          </c:spPr>
        </c:marker>
      </c:pivotFmt>
      <c:pivotFmt>
        <c:idx val="9"/>
        <c:spPr>
          <a:solidFill>
            <a:schemeClr val="accent1"/>
          </a:solidFill>
          <a:ln w="28575" cap="rnd">
            <a:solidFill>
              <a:schemeClr val="accent1"/>
            </a:solidFill>
            <a:round/>
          </a:ln>
          <a:effectLst/>
        </c:spPr>
        <c:marker>
          <c:symbol val="circle"/>
          <c:size val="5"/>
          <c:spPr>
            <a:solidFill>
              <a:schemeClr val="accent3">
                <a:lumMod val="60000"/>
              </a:schemeClr>
            </a:solidFill>
            <a:ln w="9525">
              <a:solidFill>
                <a:schemeClr val="accent3">
                  <a:lumMod val="60000"/>
                </a:schemeClr>
              </a:solidFill>
            </a:ln>
            <a:effectLst/>
          </c:spPr>
        </c:marker>
      </c:pivotFmt>
      <c:pivotFmt>
        <c:idx val="10"/>
        <c:spPr>
          <a:solidFill>
            <a:schemeClr val="accent1"/>
          </a:solidFill>
          <a:ln w="28575" cap="rnd">
            <a:solidFill>
              <a:schemeClr val="accent1"/>
            </a:solidFill>
            <a:round/>
          </a:ln>
          <a:effectLst/>
        </c:spPr>
        <c:marker>
          <c:symbol val="circle"/>
          <c:size val="5"/>
          <c:spPr>
            <a:solidFill>
              <a:schemeClr val="accent4">
                <a:lumMod val="60000"/>
              </a:schemeClr>
            </a:solidFill>
            <a:ln w="9525">
              <a:solidFill>
                <a:schemeClr val="accent4">
                  <a:lumMod val="60000"/>
                </a:schemeClr>
              </a:solidFill>
            </a:ln>
            <a:effectLst/>
          </c:spPr>
        </c:marker>
      </c:pivotFmt>
      <c:pivotFmt>
        <c:idx val="11"/>
        <c:spPr>
          <a:solidFill>
            <a:schemeClr val="accent1"/>
          </a:solidFill>
          <a:ln w="28575" cap="rnd">
            <a:solidFill>
              <a:schemeClr val="accent1"/>
            </a:solidFill>
            <a:round/>
          </a:ln>
          <a:effectLst/>
        </c:spPr>
        <c:marker>
          <c:symbol val="circle"/>
          <c:size val="5"/>
          <c:spPr>
            <a:solidFill>
              <a:schemeClr val="accent5">
                <a:lumMod val="60000"/>
              </a:schemeClr>
            </a:solidFill>
            <a:ln w="9525">
              <a:solidFill>
                <a:schemeClr val="accent5">
                  <a:lumMod val="60000"/>
                </a:schemeClr>
              </a:solidFill>
            </a:ln>
            <a:effectLst/>
          </c:spPr>
        </c:marker>
      </c:pivotFmt>
      <c:pivotFmt>
        <c:idx val="12"/>
        <c:spPr>
          <a:solidFill>
            <a:schemeClr val="accent1"/>
          </a:solidFill>
          <a:ln w="28575" cap="rnd">
            <a:solidFill>
              <a:schemeClr val="accent1"/>
            </a:solidFill>
            <a:round/>
          </a:ln>
          <a:effectLst/>
        </c:spPr>
        <c:marker>
          <c:symbol val="circle"/>
          <c:size val="5"/>
          <c:spPr>
            <a:solidFill>
              <a:schemeClr val="accent6">
                <a:lumMod val="60000"/>
              </a:schemeClr>
            </a:solidFill>
            <a:ln w="9525">
              <a:solidFill>
                <a:schemeClr val="accent6">
                  <a:lumMod val="60000"/>
                </a:schemeClr>
              </a:solidFill>
            </a:ln>
            <a:effectLst/>
          </c:spPr>
        </c:marker>
      </c:pivotFmt>
      <c:pivotFmt>
        <c:idx val="13"/>
        <c:spPr>
          <a:solidFill>
            <a:schemeClr val="accent1"/>
          </a:solidFill>
          <a:ln w="28575" cap="rnd">
            <a:solidFill>
              <a:schemeClr val="accent1"/>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pivotFmt>
      <c:pivotFmt>
        <c:idx val="14"/>
        <c:spPr>
          <a:solidFill>
            <a:schemeClr val="accent1"/>
          </a:solidFill>
          <a:ln w="28575" cap="rnd">
            <a:solidFill>
              <a:schemeClr val="accent1"/>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pivotFmt>
      <c:pivotFmt>
        <c:idx val="15"/>
        <c:spPr>
          <a:solidFill>
            <a:schemeClr val="accent1"/>
          </a:solidFill>
          <a:ln w="28575" cap="rnd">
            <a:solidFill>
              <a:schemeClr val="accent1"/>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pivotFmt>
      <c:pivotFmt>
        <c:idx val="16"/>
        <c:spPr>
          <a:solidFill>
            <a:schemeClr val="accent1"/>
          </a:solidFill>
          <a:ln w="28575" cap="rnd">
            <a:solidFill>
              <a:schemeClr val="accent1"/>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pivotFmt>
      <c:pivotFmt>
        <c:idx val="17"/>
        <c:spPr>
          <a:solidFill>
            <a:schemeClr val="accent1"/>
          </a:solidFill>
          <a:ln w="28575" cap="rnd">
            <a:solidFill>
              <a:schemeClr val="accent1"/>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pivotFmt>
      <c:pivotFmt>
        <c:idx val="18"/>
        <c:spPr>
          <a:solidFill>
            <a:schemeClr val="accent1"/>
          </a:solidFill>
          <a:ln w="28575" cap="rnd">
            <a:solidFill>
              <a:schemeClr val="accent1"/>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pivotFmt>
      <c:pivotFmt>
        <c:idx val="19"/>
        <c:spPr>
          <a:solidFill>
            <a:schemeClr val="accent1"/>
          </a:solidFill>
          <a:ln w="28575" cap="rnd">
            <a:solidFill>
              <a:schemeClr val="accent1"/>
            </a:solidFill>
            <a:round/>
          </a:ln>
          <a:effectLst/>
        </c:spPr>
        <c:marker>
          <c:symbol val="circle"/>
          <c:size val="5"/>
          <c:spPr>
            <a:solidFill>
              <a:schemeClr val="accent1">
                <a:lumMod val="80000"/>
              </a:schemeClr>
            </a:solidFill>
            <a:ln w="9525">
              <a:solidFill>
                <a:schemeClr val="accent1">
                  <a:lumMod val="80000"/>
                </a:schemeClr>
              </a:solidFill>
            </a:ln>
            <a:effectLst/>
          </c:spPr>
        </c:marker>
      </c:pivotFmt>
      <c:pivotFmt>
        <c:idx val="20"/>
        <c:spPr>
          <a:solidFill>
            <a:schemeClr val="accent1"/>
          </a:solidFill>
          <a:ln w="28575" cap="rnd">
            <a:solidFill>
              <a:schemeClr val="accent1"/>
            </a:solidFill>
            <a:round/>
          </a:ln>
          <a:effectLst/>
        </c:spPr>
        <c:marker>
          <c:symbol val="circle"/>
          <c:size val="5"/>
          <c:spPr>
            <a:solidFill>
              <a:schemeClr val="accent2">
                <a:lumMod val="80000"/>
              </a:schemeClr>
            </a:solidFill>
            <a:ln w="9525">
              <a:solidFill>
                <a:schemeClr val="accent2">
                  <a:lumMod val="80000"/>
                </a:schemeClr>
              </a:solidFill>
            </a:ln>
            <a:effectLst/>
          </c:spPr>
        </c:marker>
      </c:pivotFmt>
      <c:pivotFmt>
        <c:idx val="21"/>
        <c:spPr>
          <a:solidFill>
            <a:schemeClr val="accent1"/>
          </a:solidFill>
          <a:ln w="28575" cap="rnd">
            <a:solidFill>
              <a:schemeClr val="accent1"/>
            </a:solidFill>
            <a:round/>
          </a:ln>
          <a:effectLst/>
        </c:spPr>
        <c:marker>
          <c:symbol val="circle"/>
          <c:size val="5"/>
          <c:spPr>
            <a:solidFill>
              <a:schemeClr val="accent3">
                <a:lumMod val="80000"/>
              </a:schemeClr>
            </a:solidFill>
            <a:ln w="9525">
              <a:solidFill>
                <a:schemeClr val="accent3">
                  <a:lumMod val="80000"/>
                </a:schemeClr>
              </a:solidFill>
            </a:ln>
            <a:effectLst/>
          </c:spPr>
        </c:marker>
      </c:pivotFmt>
      <c:pivotFmt>
        <c:idx val="22"/>
        <c:spPr>
          <a:solidFill>
            <a:schemeClr val="accent1"/>
          </a:solidFill>
          <a:ln w="28575" cap="rnd">
            <a:solidFill>
              <a:schemeClr val="accent1"/>
            </a:solidFill>
            <a:round/>
          </a:ln>
          <a:effectLst/>
        </c:spPr>
        <c:marker>
          <c:symbol val="circle"/>
          <c:size val="5"/>
          <c:spPr>
            <a:solidFill>
              <a:schemeClr val="accent4">
                <a:lumMod val="80000"/>
              </a:schemeClr>
            </a:solidFill>
            <a:ln w="9525">
              <a:solidFill>
                <a:schemeClr val="accent4">
                  <a:lumMod val="80000"/>
                </a:schemeClr>
              </a:solidFill>
            </a:ln>
            <a:effectLst/>
          </c:spPr>
        </c:marker>
      </c:pivotFmt>
      <c:pivotFmt>
        <c:idx val="23"/>
        <c:spPr>
          <a:solidFill>
            <a:schemeClr val="accent1"/>
          </a:solidFill>
          <a:ln w="28575" cap="rnd">
            <a:solidFill>
              <a:schemeClr val="accent1"/>
            </a:solidFill>
            <a:round/>
          </a:ln>
          <a:effectLst/>
        </c:spPr>
        <c:marker>
          <c:symbol val="circle"/>
          <c:size val="5"/>
          <c:spPr>
            <a:solidFill>
              <a:schemeClr val="accent5">
                <a:lumMod val="80000"/>
              </a:schemeClr>
            </a:solidFill>
            <a:ln w="9525">
              <a:solidFill>
                <a:schemeClr val="accent5">
                  <a:lumMod val="80000"/>
                </a:schemeClr>
              </a:solidFill>
            </a:ln>
            <a:effectLst/>
          </c:spPr>
        </c:marker>
      </c:pivotFmt>
      <c:pivotFmt>
        <c:idx val="24"/>
        <c:spPr>
          <a:solidFill>
            <a:schemeClr val="accent1"/>
          </a:solidFill>
          <a:ln w="28575" cap="rnd">
            <a:solidFill>
              <a:schemeClr val="accent1"/>
            </a:solidFill>
            <a:round/>
          </a:ln>
          <a:effectLst/>
        </c:spPr>
        <c:marker>
          <c:symbol val="circle"/>
          <c:size val="5"/>
          <c:spPr>
            <a:solidFill>
              <a:schemeClr val="accent6">
                <a:lumMod val="80000"/>
              </a:schemeClr>
            </a:solidFill>
            <a:ln w="9525">
              <a:solidFill>
                <a:schemeClr val="accent6">
                  <a:lumMod val="80000"/>
                </a:schemeClr>
              </a:solidFill>
            </a:ln>
            <a:effectLst/>
          </c:spPr>
        </c:marker>
      </c:pivotFmt>
      <c:pivotFmt>
        <c:idx val="25"/>
        <c:spPr>
          <a:solidFill>
            <a:schemeClr val="accent1"/>
          </a:solidFill>
          <a:ln w="28575" cap="rnd">
            <a:solidFill>
              <a:schemeClr val="accent1"/>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pivotFmt>
      <c:pivotFmt>
        <c:idx val="26"/>
        <c:spPr>
          <a:solidFill>
            <a:schemeClr val="accent1"/>
          </a:solidFill>
          <a:ln w="28575" cap="rnd">
            <a:solidFill>
              <a:schemeClr val="accent1"/>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pivotFmt>
      <c:pivotFmt>
        <c:idx val="27"/>
        <c:spPr>
          <a:solidFill>
            <a:schemeClr val="accent1"/>
          </a:solidFill>
          <a:ln w="28575" cap="rnd">
            <a:solidFill>
              <a:schemeClr val="accent1"/>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pivotFmt>
      <c:pivotFmt>
        <c:idx val="28"/>
        <c:spPr>
          <a:solidFill>
            <a:schemeClr val="accent1"/>
          </a:solidFill>
          <a:ln w="28575" cap="rnd">
            <a:solidFill>
              <a:schemeClr val="accent1"/>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pivotFmt>
      <c:pivotFmt>
        <c:idx val="29"/>
        <c:spPr>
          <a:solidFill>
            <a:schemeClr val="accent1"/>
          </a:solidFill>
          <a:ln w="28575" cap="rnd">
            <a:solidFill>
              <a:schemeClr val="accent1"/>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pivotFmt>
      <c:pivotFmt>
        <c:idx val="30"/>
        <c:spPr>
          <a:solidFill>
            <a:schemeClr val="accent1"/>
          </a:solidFill>
          <a:ln w="28575" cap="rnd">
            <a:solidFill>
              <a:schemeClr val="accent1"/>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pivotFmt>
      <c:pivotFmt>
        <c:idx val="31"/>
        <c:spPr>
          <a:solidFill>
            <a:schemeClr val="accent1"/>
          </a:solidFill>
          <a:ln w="28575" cap="rnd">
            <a:solidFill>
              <a:schemeClr val="accent1"/>
            </a:solidFill>
            <a:round/>
          </a:ln>
          <a:effectLst/>
        </c:spPr>
        <c:marker>
          <c:symbol val="circle"/>
          <c:size val="5"/>
          <c:spPr>
            <a:solidFill>
              <a:schemeClr val="accent1">
                <a:lumMod val="50000"/>
              </a:schemeClr>
            </a:solidFill>
            <a:ln w="9525">
              <a:solidFill>
                <a:schemeClr val="accent1">
                  <a:lumMod val="50000"/>
                </a:schemeClr>
              </a:solidFill>
            </a:ln>
            <a:effectLst/>
          </c:spPr>
        </c:marker>
      </c:pivotFmt>
      <c:pivotFmt>
        <c:idx val="32"/>
        <c:spPr>
          <a:solidFill>
            <a:schemeClr val="accent1"/>
          </a:solidFill>
          <a:ln w="28575" cap="rnd">
            <a:solidFill>
              <a:schemeClr val="accent1"/>
            </a:solidFill>
            <a:round/>
          </a:ln>
          <a:effectLst/>
        </c:spPr>
        <c:marker>
          <c:symbol val="circle"/>
          <c:size val="5"/>
        </c:marker>
        <c:dLbl>
          <c:idx val="0"/>
          <c:delete val="1"/>
          <c:extLst>
            <c:ext xmlns:c15="http://schemas.microsoft.com/office/drawing/2012/chart" uri="{CE6537A1-D6FC-4f65-9D91-7224C49458BB}"/>
          </c:extLst>
        </c:dLbl>
      </c:pivotFmt>
      <c:pivotFmt>
        <c:idx val="33"/>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34"/>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
        <c:idx val="35"/>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pivotFmt>
      <c:pivotFmt>
        <c:idx val="36"/>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pivotFmt>
      <c:pivotFmt>
        <c:idx val="37"/>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pivotFmt>
      <c:pivotFmt>
        <c:idx val="38"/>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pivotFmt>
      <c:pivotFmt>
        <c:idx val="39"/>
        <c:spPr>
          <a:solidFill>
            <a:schemeClr val="accent1"/>
          </a:solidFill>
          <a:ln w="28575" cap="rnd">
            <a:solidFill>
              <a:schemeClr val="accent1"/>
            </a:solidFill>
            <a:round/>
          </a:ln>
          <a:effectLst/>
        </c:spPr>
        <c:marker>
          <c:symbol val="circle"/>
          <c:size val="5"/>
          <c:spPr>
            <a:solidFill>
              <a:schemeClr val="accent1">
                <a:lumMod val="60000"/>
              </a:schemeClr>
            </a:solidFill>
            <a:ln w="9525">
              <a:solidFill>
                <a:schemeClr val="accent1">
                  <a:lumMod val="60000"/>
                </a:schemeClr>
              </a:solidFill>
            </a:ln>
            <a:effectLst/>
          </c:spPr>
        </c:marker>
      </c:pivotFmt>
      <c:pivotFmt>
        <c:idx val="40"/>
        <c:spPr>
          <a:solidFill>
            <a:schemeClr val="accent1"/>
          </a:solidFill>
          <a:ln w="28575" cap="rnd">
            <a:solidFill>
              <a:schemeClr val="accent1"/>
            </a:solidFill>
            <a:round/>
          </a:ln>
          <a:effectLst/>
        </c:spPr>
        <c:marker>
          <c:symbol val="circle"/>
          <c:size val="5"/>
          <c:spPr>
            <a:solidFill>
              <a:schemeClr val="accent2">
                <a:lumMod val="60000"/>
              </a:schemeClr>
            </a:solidFill>
            <a:ln w="9525">
              <a:solidFill>
                <a:schemeClr val="accent2">
                  <a:lumMod val="60000"/>
                </a:schemeClr>
              </a:solidFill>
            </a:ln>
            <a:effectLst/>
          </c:spPr>
        </c:marker>
      </c:pivotFmt>
      <c:pivotFmt>
        <c:idx val="41"/>
        <c:spPr>
          <a:solidFill>
            <a:schemeClr val="accent1"/>
          </a:solidFill>
          <a:ln w="28575" cap="rnd">
            <a:solidFill>
              <a:schemeClr val="accent1"/>
            </a:solidFill>
            <a:round/>
          </a:ln>
          <a:effectLst/>
        </c:spPr>
        <c:marker>
          <c:symbol val="circle"/>
          <c:size val="5"/>
          <c:spPr>
            <a:solidFill>
              <a:schemeClr val="accent3">
                <a:lumMod val="60000"/>
              </a:schemeClr>
            </a:solidFill>
            <a:ln w="9525">
              <a:solidFill>
                <a:schemeClr val="accent3">
                  <a:lumMod val="60000"/>
                </a:schemeClr>
              </a:solidFill>
            </a:ln>
            <a:effectLst/>
          </c:spPr>
        </c:marker>
      </c:pivotFmt>
      <c:pivotFmt>
        <c:idx val="42"/>
        <c:spPr>
          <a:solidFill>
            <a:schemeClr val="accent1"/>
          </a:solidFill>
          <a:ln w="28575" cap="rnd">
            <a:solidFill>
              <a:schemeClr val="accent1"/>
            </a:solidFill>
            <a:round/>
          </a:ln>
          <a:effectLst/>
        </c:spPr>
        <c:marker>
          <c:symbol val="circle"/>
          <c:size val="5"/>
          <c:spPr>
            <a:solidFill>
              <a:schemeClr val="accent4">
                <a:lumMod val="60000"/>
              </a:schemeClr>
            </a:solidFill>
            <a:ln w="9525">
              <a:solidFill>
                <a:schemeClr val="accent4">
                  <a:lumMod val="60000"/>
                </a:schemeClr>
              </a:solidFill>
            </a:ln>
            <a:effectLst/>
          </c:spPr>
        </c:marker>
      </c:pivotFmt>
      <c:pivotFmt>
        <c:idx val="43"/>
        <c:spPr>
          <a:solidFill>
            <a:schemeClr val="accent1"/>
          </a:solidFill>
          <a:ln w="28575" cap="rnd">
            <a:solidFill>
              <a:schemeClr val="accent1"/>
            </a:solidFill>
            <a:round/>
          </a:ln>
          <a:effectLst/>
        </c:spPr>
        <c:marker>
          <c:symbol val="circle"/>
          <c:size val="5"/>
          <c:spPr>
            <a:solidFill>
              <a:schemeClr val="accent5">
                <a:lumMod val="60000"/>
              </a:schemeClr>
            </a:solidFill>
            <a:ln w="9525">
              <a:solidFill>
                <a:schemeClr val="accent5">
                  <a:lumMod val="60000"/>
                </a:schemeClr>
              </a:solidFill>
            </a:ln>
            <a:effectLst/>
          </c:spPr>
        </c:marker>
      </c:pivotFmt>
      <c:pivotFmt>
        <c:idx val="44"/>
        <c:spPr>
          <a:solidFill>
            <a:schemeClr val="accent1"/>
          </a:solidFill>
          <a:ln w="28575" cap="rnd">
            <a:solidFill>
              <a:schemeClr val="accent1"/>
            </a:solidFill>
            <a:round/>
          </a:ln>
          <a:effectLst/>
        </c:spPr>
        <c:marker>
          <c:symbol val="circle"/>
          <c:size val="5"/>
          <c:spPr>
            <a:solidFill>
              <a:schemeClr val="accent6">
                <a:lumMod val="60000"/>
              </a:schemeClr>
            </a:solidFill>
            <a:ln w="9525">
              <a:solidFill>
                <a:schemeClr val="accent6">
                  <a:lumMod val="60000"/>
                </a:schemeClr>
              </a:solidFill>
            </a:ln>
            <a:effectLst/>
          </c:spPr>
        </c:marker>
      </c:pivotFmt>
      <c:pivotFmt>
        <c:idx val="45"/>
        <c:spPr>
          <a:solidFill>
            <a:schemeClr val="accent1"/>
          </a:solidFill>
          <a:ln w="28575" cap="rnd">
            <a:solidFill>
              <a:schemeClr val="accent1"/>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pivotFmt>
      <c:pivotFmt>
        <c:idx val="46"/>
        <c:spPr>
          <a:solidFill>
            <a:schemeClr val="accent1"/>
          </a:solidFill>
          <a:ln w="28575" cap="rnd">
            <a:solidFill>
              <a:schemeClr val="accent1"/>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pivotFmt>
      <c:pivotFmt>
        <c:idx val="47"/>
        <c:spPr>
          <a:solidFill>
            <a:schemeClr val="accent1"/>
          </a:solidFill>
          <a:ln w="28575" cap="rnd">
            <a:solidFill>
              <a:schemeClr val="accent1"/>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pivotFmt>
      <c:pivotFmt>
        <c:idx val="48"/>
        <c:spPr>
          <a:solidFill>
            <a:schemeClr val="accent1"/>
          </a:solidFill>
          <a:ln w="28575" cap="rnd">
            <a:solidFill>
              <a:schemeClr val="accent1"/>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pivotFmt>
      <c:pivotFmt>
        <c:idx val="49"/>
        <c:spPr>
          <a:solidFill>
            <a:schemeClr val="accent1"/>
          </a:solidFill>
          <a:ln w="28575" cap="rnd">
            <a:solidFill>
              <a:schemeClr val="accent1"/>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pivotFmt>
      <c:pivotFmt>
        <c:idx val="50"/>
        <c:spPr>
          <a:solidFill>
            <a:schemeClr val="accent1"/>
          </a:solidFill>
          <a:ln w="28575" cap="rnd">
            <a:solidFill>
              <a:schemeClr val="accent1"/>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pivotFmt>
      <c:pivotFmt>
        <c:idx val="51"/>
        <c:spPr>
          <a:solidFill>
            <a:schemeClr val="accent1"/>
          </a:solidFill>
          <a:ln w="28575" cap="rnd">
            <a:solidFill>
              <a:schemeClr val="accent1"/>
            </a:solidFill>
            <a:round/>
          </a:ln>
          <a:effectLst/>
        </c:spPr>
        <c:marker>
          <c:symbol val="circle"/>
          <c:size val="5"/>
          <c:spPr>
            <a:solidFill>
              <a:schemeClr val="accent1">
                <a:lumMod val="80000"/>
              </a:schemeClr>
            </a:solidFill>
            <a:ln w="9525">
              <a:solidFill>
                <a:schemeClr val="accent1">
                  <a:lumMod val="80000"/>
                </a:schemeClr>
              </a:solidFill>
            </a:ln>
            <a:effectLst/>
          </c:spPr>
        </c:marker>
      </c:pivotFmt>
      <c:pivotFmt>
        <c:idx val="52"/>
        <c:spPr>
          <a:solidFill>
            <a:schemeClr val="accent1"/>
          </a:solidFill>
          <a:ln w="28575" cap="rnd">
            <a:solidFill>
              <a:schemeClr val="accent1"/>
            </a:solidFill>
            <a:round/>
          </a:ln>
          <a:effectLst/>
        </c:spPr>
        <c:marker>
          <c:symbol val="circle"/>
          <c:size val="5"/>
          <c:spPr>
            <a:solidFill>
              <a:schemeClr val="accent2">
                <a:lumMod val="80000"/>
              </a:schemeClr>
            </a:solidFill>
            <a:ln w="9525">
              <a:solidFill>
                <a:schemeClr val="accent2">
                  <a:lumMod val="80000"/>
                </a:schemeClr>
              </a:solidFill>
            </a:ln>
            <a:effectLst/>
          </c:spPr>
        </c:marker>
      </c:pivotFmt>
      <c:pivotFmt>
        <c:idx val="53"/>
        <c:spPr>
          <a:solidFill>
            <a:schemeClr val="accent1"/>
          </a:solidFill>
          <a:ln w="28575" cap="rnd">
            <a:solidFill>
              <a:schemeClr val="accent1"/>
            </a:solidFill>
            <a:round/>
          </a:ln>
          <a:effectLst/>
        </c:spPr>
        <c:marker>
          <c:symbol val="circle"/>
          <c:size val="5"/>
          <c:spPr>
            <a:solidFill>
              <a:schemeClr val="accent3">
                <a:lumMod val="80000"/>
              </a:schemeClr>
            </a:solidFill>
            <a:ln w="9525">
              <a:solidFill>
                <a:schemeClr val="accent3">
                  <a:lumMod val="80000"/>
                </a:schemeClr>
              </a:solidFill>
            </a:ln>
            <a:effectLst/>
          </c:spPr>
        </c:marker>
      </c:pivotFmt>
      <c:pivotFmt>
        <c:idx val="54"/>
        <c:spPr>
          <a:solidFill>
            <a:schemeClr val="accent1"/>
          </a:solidFill>
          <a:ln w="28575" cap="rnd">
            <a:solidFill>
              <a:schemeClr val="accent1"/>
            </a:solidFill>
            <a:round/>
          </a:ln>
          <a:effectLst/>
        </c:spPr>
        <c:marker>
          <c:symbol val="circle"/>
          <c:size val="5"/>
          <c:spPr>
            <a:solidFill>
              <a:schemeClr val="accent4">
                <a:lumMod val="80000"/>
              </a:schemeClr>
            </a:solidFill>
            <a:ln w="9525">
              <a:solidFill>
                <a:schemeClr val="accent4">
                  <a:lumMod val="80000"/>
                </a:schemeClr>
              </a:solidFill>
            </a:ln>
            <a:effectLst/>
          </c:spPr>
        </c:marker>
      </c:pivotFmt>
      <c:pivotFmt>
        <c:idx val="55"/>
        <c:spPr>
          <a:solidFill>
            <a:schemeClr val="accent1"/>
          </a:solidFill>
          <a:ln w="28575" cap="rnd">
            <a:solidFill>
              <a:schemeClr val="accent1"/>
            </a:solidFill>
            <a:round/>
          </a:ln>
          <a:effectLst/>
        </c:spPr>
        <c:marker>
          <c:symbol val="circle"/>
          <c:size val="5"/>
          <c:spPr>
            <a:solidFill>
              <a:schemeClr val="accent5">
                <a:lumMod val="80000"/>
              </a:schemeClr>
            </a:solidFill>
            <a:ln w="9525">
              <a:solidFill>
                <a:schemeClr val="accent5">
                  <a:lumMod val="80000"/>
                </a:schemeClr>
              </a:solidFill>
            </a:ln>
            <a:effectLst/>
          </c:spPr>
        </c:marker>
      </c:pivotFmt>
      <c:pivotFmt>
        <c:idx val="56"/>
        <c:spPr>
          <a:solidFill>
            <a:schemeClr val="accent1"/>
          </a:solidFill>
          <a:ln w="28575" cap="rnd">
            <a:solidFill>
              <a:schemeClr val="accent1"/>
            </a:solidFill>
            <a:round/>
          </a:ln>
          <a:effectLst/>
        </c:spPr>
        <c:marker>
          <c:symbol val="circle"/>
          <c:size val="5"/>
          <c:spPr>
            <a:solidFill>
              <a:schemeClr val="accent6">
                <a:lumMod val="80000"/>
              </a:schemeClr>
            </a:solidFill>
            <a:ln w="9525">
              <a:solidFill>
                <a:schemeClr val="accent6">
                  <a:lumMod val="80000"/>
                </a:schemeClr>
              </a:solidFill>
            </a:ln>
            <a:effectLst/>
          </c:spPr>
        </c:marker>
      </c:pivotFmt>
      <c:pivotFmt>
        <c:idx val="57"/>
        <c:spPr>
          <a:solidFill>
            <a:schemeClr val="accent1"/>
          </a:solidFill>
          <a:ln w="28575" cap="rnd">
            <a:solidFill>
              <a:schemeClr val="accent1"/>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pivotFmt>
      <c:pivotFmt>
        <c:idx val="58"/>
        <c:spPr>
          <a:solidFill>
            <a:schemeClr val="accent1"/>
          </a:solidFill>
          <a:ln w="28575" cap="rnd">
            <a:solidFill>
              <a:schemeClr val="accent1"/>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pivotFmt>
      <c:pivotFmt>
        <c:idx val="59"/>
        <c:spPr>
          <a:solidFill>
            <a:schemeClr val="accent1"/>
          </a:solidFill>
          <a:ln w="28575" cap="rnd">
            <a:solidFill>
              <a:schemeClr val="accent1"/>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pivotFmt>
      <c:pivotFmt>
        <c:idx val="60"/>
        <c:spPr>
          <a:solidFill>
            <a:schemeClr val="accent1"/>
          </a:solidFill>
          <a:ln w="28575" cap="rnd">
            <a:solidFill>
              <a:schemeClr val="accent1"/>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pivotFmt>
      <c:pivotFmt>
        <c:idx val="61"/>
        <c:spPr>
          <a:solidFill>
            <a:schemeClr val="accent1"/>
          </a:solidFill>
          <a:ln w="28575" cap="rnd">
            <a:solidFill>
              <a:schemeClr val="accent1"/>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pivotFmt>
      <c:pivotFmt>
        <c:idx val="62"/>
        <c:spPr>
          <a:solidFill>
            <a:schemeClr val="accent1"/>
          </a:solidFill>
          <a:ln w="28575" cap="rnd">
            <a:solidFill>
              <a:schemeClr val="accent1"/>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pivotFmt>
      <c:pivotFmt>
        <c:idx val="63"/>
        <c:spPr>
          <a:solidFill>
            <a:schemeClr val="accent1"/>
          </a:solidFill>
          <a:ln w="28575" cap="rnd">
            <a:solidFill>
              <a:schemeClr val="accent1"/>
            </a:solidFill>
            <a:round/>
          </a:ln>
          <a:effectLst/>
        </c:spPr>
        <c:marker>
          <c:symbol val="circle"/>
          <c:size val="5"/>
          <c:spPr>
            <a:solidFill>
              <a:schemeClr val="accent1">
                <a:lumMod val="50000"/>
              </a:schemeClr>
            </a:solidFill>
            <a:ln w="9525">
              <a:solidFill>
                <a:schemeClr val="accent1">
                  <a:lumMod val="50000"/>
                </a:schemeClr>
              </a:solidFill>
            </a:ln>
            <a:effectLst/>
          </c:spPr>
        </c:marker>
      </c:pivotFmt>
      <c:pivotFmt>
        <c:idx val="64"/>
        <c:spPr>
          <a:solidFill>
            <a:schemeClr val="accent1"/>
          </a:solidFill>
          <a:ln w="28575" cap="rnd">
            <a:solidFill>
              <a:schemeClr val="accent1"/>
            </a:solidFill>
            <a:round/>
          </a:ln>
          <a:effectLst/>
        </c:spPr>
        <c:marker>
          <c:symbol val="circle"/>
          <c:size val="5"/>
        </c:marker>
        <c:dLbl>
          <c:idx val="0"/>
          <c:delete val="1"/>
          <c:extLst>
            <c:ext xmlns:c15="http://schemas.microsoft.com/office/drawing/2012/chart" uri="{CE6537A1-D6FC-4f65-9D91-7224C49458BB}"/>
          </c:extLst>
        </c:dLbl>
      </c:pivotFmt>
      <c:pivotFmt>
        <c:idx val="65"/>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pivotFmt>
      <c:pivotFmt>
        <c:idx val="66"/>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pivotFmt>
      <c:pivotFmt>
        <c:idx val="67"/>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pivotFmt>
      <c:pivotFmt>
        <c:idx val="68"/>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pivotFmt>
      <c:pivotFmt>
        <c:idx val="69"/>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pivotFmt>
      <c:pivotFmt>
        <c:idx val="70"/>
        <c:spPr>
          <a:solidFill>
            <a:schemeClr val="accent1"/>
          </a:solidFill>
          <a:ln w="28575" cap="rnd">
            <a:solidFill>
              <a:schemeClr val="accent1"/>
            </a:solidFill>
            <a:round/>
          </a:ln>
          <a:effectLst/>
        </c:spPr>
        <c:marker>
          <c:symbol val="circle"/>
          <c:size val="5"/>
          <c:spPr>
            <a:solidFill>
              <a:schemeClr val="accent6"/>
            </a:solidFill>
            <a:ln w="9525">
              <a:solidFill>
                <a:schemeClr val="accent6"/>
              </a:solidFill>
            </a:ln>
            <a:effectLst/>
          </c:spPr>
        </c:marker>
      </c:pivotFmt>
      <c:pivotFmt>
        <c:idx val="71"/>
        <c:spPr>
          <a:solidFill>
            <a:schemeClr val="accent1"/>
          </a:solidFill>
          <a:ln w="28575" cap="rnd">
            <a:solidFill>
              <a:schemeClr val="accent1"/>
            </a:solidFill>
            <a:round/>
          </a:ln>
          <a:effectLst/>
        </c:spPr>
        <c:marker>
          <c:symbol val="circle"/>
          <c:size val="5"/>
          <c:spPr>
            <a:solidFill>
              <a:schemeClr val="accent1">
                <a:lumMod val="60000"/>
              </a:schemeClr>
            </a:solidFill>
            <a:ln w="9525">
              <a:solidFill>
                <a:schemeClr val="accent1">
                  <a:lumMod val="60000"/>
                </a:schemeClr>
              </a:solidFill>
            </a:ln>
            <a:effectLst/>
          </c:spPr>
        </c:marker>
      </c:pivotFmt>
      <c:pivotFmt>
        <c:idx val="72"/>
        <c:spPr>
          <a:solidFill>
            <a:schemeClr val="accent1"/>
          </a:solidFill>
          <a:ln w="28575" cap="rnd">
            <a:solidFill>
              <a:schemeClr val="accent1"/>
            </a:solidFill>
            <a:round/>
          </a:ln>
          <a:effectLst/>
        </c:spPr>
        <c:marker>
          <c:symbol val="circle"/>
          <c:size val="5"/>
          <c:spPr>
            <a:solidFill>
              <a:schemeClr val="accent2">
                <a:lumMod val="60000"/>
              </a:schemeClr>
            </a:solidFill>
            <a:ln w="9525">
              <a:solidFill>
                <a:schemeClr val="accent2">
                  <a:lumMod val="60000"/>
                </a:schemeClr>
              </a:solidFill>
            </a:ln>
            <a:effectLst/>
          </c:spPr>
        </c:marker>
      </c:pivotFmt>
      <c:pivotFmt>
        <c:idx val="73"/>
        <c:spPr>
          <a:solidFill>
            <a:schemeClr val="accent1"/>
          </a:solidFill>
          <a:ln w="28575" cap="rnd">
            <a:solidFill>
              <a:schemeClr val="accent1"/>
            </a:solidFill>
            <a:round/>
          </a:ln>
          <a:effectLst/>
        </c:spPr>
        <c:marker>
          <c:symbol val="circle"/>
          <c:size val="5"/>
          <c:spPr>
            <a:solidFill>
              <a:schemeClr val="accent3">
                <a:lumMod val="60000"/>
              </a:schemeClr>
            </a:solidFill>
            <a:ln w="9525">
              <a:solidFill>
                <a:schemeClr val="accent3">
                  <a:lumMod val="60000"/>
                </a:schemeClr>
              </a:solidFill>
            </a:ln>
            <a:effectLst/>
          </c:spPr>
        </c:marker>
      </c:pivotFmt>
      <c:pivotFmt>
        <c:idx val="74"/>
        <c:spPr>
          <a:solidFill>
            <a:schemeClr val="accent1"/>
          </a:solidFill>
          <a:ln w="28575" cap="rnd">
            <a:solidFill>
              <a:schemeClr val="accent1"/>
            </a:solidFill>
            <a:round/>
          </a:ln>
          <a:effectLst/>
        </c:spPr>
        <c:marker>
          <c:symbol val="circle"/>
          <c:size val="5"/>
          <c:spPr>
            <a:solidFill>
              <a:schemeClr val="accent4">
                <a:lumMod val="60000"/>
              </a:schemeClr>
            </a:solidFill>
            <a:ln w="9525">
              <a:solidFill>
                <a:schemeClr val="accent4">
                  <a:lumMod val="60000"/>
                </a:schemeClr>
              </a:solidFill>
            </a:ln>
            <a:effectLst/>
          </c:spPr>
        </c:marker>
      </c:pivotFmt>
      <c:pivotFmt>
        <c:idx val="75"/>
        <c:spPr>
          <a:solidFill>
            <a:schemeClr val="accent1"/>
          </a:solidFill>
          <a:ln w="28575" cap="rnd">
            <a:solidFill>
              <a:schemeClr val="accent1"/>
            </a:solidFill>
            <a:round/>
          </a:ln>
          <a:effectLst/>
        </c:spPr>
        <c:marker>
          <c:symbol val="circle"/>
          <c:size val="5"/>
          <c:spPr>
            <a:solidFill>
              <a:schemeClr val="accent5">
                <a:lumMod val="60000"/>
              </a:schemeClr>
            </a:solidFill>
            <a:ln w="9525">
              <a:solidFill>
                <a:schemeClr val="accent5">
                  <a:lumMod val="60000"/>
                </a:schemeClr>
              </a:solidFill>
            </a:ln>
            <a:effectLst/>
          </c:spPr>
        </c:marker>
      </c:pivotFmt>
      <c:pivotFmt>
        <c:idx val="76"/>
        <c:spPr>
          <a:solidFill>
            <a:schemeClr val="accent1"/>
          </a:solidFill>
          <a:ln w="28575" cap="rnd">
            <a:solidFill>
              <a:schemeClr val="accent1"/>
            </a:solidFill>
            <a:round/>
          </a:ln>
          <a:effectLst/>
        </c:spPr>
        <c:marker>
          <c:symbol val="circle"/>
          <c:size val="5"/>
          <c:spPr>
            <a:solidFill>
              <a:schemeClr val="accent6">
                <a:lumMod val="60000"/>
              </a:schemeClr>
            </a:solidFill>
            <a:ln w="9525">
              <a:solidFill>
                <a:schemeClr val="accent6">
                  <a:lumMod val="60000"/>
                </a:schemeClr>
              </a:solidFill>
            </a:ln>
            <a:effectLst/>
          </c:spPr>
        </c:marker>
      </c:pivotFmt>
      <c:pivotFmt>
        <c:idx val="77"/>
        <c:spPr>
          <a:solidFill>
            <a:schemeClr val="accent1"/>
          </a:solidFill>
          <a:ln w="28575" cap="rnd">
            <a:solidFill>
              <a:schemeClr val="accent1"/>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pivotFmt>
      <c:pivotFmt>
        <c:idx val="78"/>
        <c:spPr>
          <a:solidFill>
            <a:schemeClr val="accent1"/>
          </a:solidFill>
          <a:ln w="28575" cap="rnd">
            <a:solidFill>
              <a:schemeClr val="accent1"/>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pivotFmt>
      <c:pivotFmt>
        <c:idx val="79"/>
        <c:spPr>
          <a:solidFill>
            <a:schemeClr val="accent1"/>
          </a:solidFill>
          <a:ln w="28575" cap="rnd">
            <a:solidFill>
              <a:schemeClr val="accent1"/>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pivotFmt>
      <c:pivotFmt>
        <c:idx val="80"/>
        <c:spPr>
          <a:solidFill>
            <a:schemeClr val="accent1"/>
          </a:solidFill>
          <a:ln w="28575" cap="rnd">
            <a:solidFill>
              <a:schemeClr val="accent1"/>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pivotFmt>
      <c:pivotFmt>
        <c:idx val="81"/>
        <c:spPr>
          <a:solidFill>
            <a:schemeClr val="accent1"/>
          </a:solidFill>
          <a:ln w="28575" cap="rnd">
            <a:solidFill>
              <a:schemeClr val="accent1"/>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pivotFmt>
      <c:pivotFmt>
        <c:idx val="82"/>
        <c:spPr>
          <a:solidFill>
            <a:schemeClr val="accent1"/>
          </a:solidFill>
          <a:ln w="28575" cap="rnd">
            <a:solidFill>
              <a:schemeClr val="accent1"/>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pivotFmt>
      <c:pivotFmt>
        <c:idx val="83"/>
        <c:spPr>
          <a:solidFill>
            <a:schemeClr val="accent1"/>
          </a:solidFill>
          <a:ln w="28575" cap="rnd">
            <a:solidFill>
              <a:schemeClr val="accent1"/>
            </a:solidFill>
            <a:round/>
          </a:ln>
          <a:effectLst/>
        </c:spPr>
        <c:marker>
          <c:symbol val="circle"/>
          <c:size val="5"/>
          <c:spPr>
            <a:solidFill>
              <a:schemeClr val="accent1">
                <a:lumMod val="80000"/>
              </a:schemeClr>
            </a:solidFill>
            <a:ln w="9525">
              <a:solidFill>
                <a:schemeClr val="accent1">
                  <a:lumMod val="80000"/>
                </a:schemeClr>
              </a:solidFill>
            </a:ln>
            <a:effectLst/>
          </c:spPr>
        </c:marker>
      </c:pivotFmt>
      <c:pivotFmt>
        <c:idx val="84"/>
        <c:spPr>
          <a:solidFill>
            <a:schemeClr val="accent1"/>
          </a:solidFill>
          <a:ln w="28575" cap="rnd">
            <a:solidFill>
              <a:schemeClr val="accent1"/>
            </a:solidFill>
            <a:round/>
          </a:ln>
          <a:effectLst/>
        </c:spPr>
        <c:marker>
          <c:symbol val="circle"/>
          <c:size val="5"/>
          <c:spPr>
            <a:solidFill>
              <a:schemeClr val="accent2">
                <a:lumMod val="80000"/>
              </a:schemeClr>
            </a:solidFill>
            <a:ln w="9525">
              <a:solidFill>
                <a:schemeClr val="accent2">
                  <a:lumMod val="80000"/>
                </a:schemeClr>
              </a:solidFill>
            </a:ln>
            <a:effectLst/>
          </c:spPr>
        </c:marker>
      </c:pivotFmt>
      <c:pivotFmt>
        <c:idx val="85"/>
        <c:spPr>
          <a:solidFill>
            <a:schemeClr val="accent1"/>
          </a:solidFill>
          <a:ln w="28575" cap="rnd">
            <a:solidFill>
              <a:schemeClr val="accent1"/>
            </a:solidFill>
            <a:round/>
          </a:ln>
          <a:effectLst/>
        </c:spPr>
        <c:marker>
          <c:symbol val="circle"/>
          <c:size val="5"/>
          <c:spPr>
            <a:solidFill>
              <a:schemeClr val="accent3">
                <a:lumMod val="80000"/>
              </a:schemeClr>
            </a:solidFill>
            <a:ln w="9525">
              <a:solidFill>
                <a:schemeClr val="accent3">
                  <a:lumMod val="80000"/>
                </a:schemeClr>
              </a:solidFill>
            </a:ln>
            <a:effectLst/>
          </c:spPr>
        </c:marker>
      </c:pivotFmt>
      <c:pivotFmt>
        <c:idx val="86"/>
        <c:spPr>
          <a:solidFill>
            <a:schemeClr val="accent1"/>
          </a:solidFill>
          <a:ln w="28575" cap="rnd">
            <a:solidFill>
              <a:schemeClr val="accent1"/>
            </a:solidFill>
            <a:round/>
          </a:ln>
          <a:effectLst/>
        </c:spPr>
        <c:marker>
          <c:symbol val="circle"/>
          <c:size val="5"/>
          <c:spPr>
            <a:solidFill>
              <a:schemeClr val="accent4">
                <a:lumMod val="80000"/>
              </a:schemeClr>
            </a:solidFill>
            <a:ln w="9525">
              <a:solidFill>
                <a:schemeClr val="accent4">
                  <a:lumMod val="80000"/>
                </a:schemeClr>
              </a:solidFill>
            </a:ln>
            <a:effectLst/>
          </c:spPr>
        </c:marker>
      </c:pivotFmt>
      <c:pivotFmt>
        <c:idx val="87"/>
        <c:spPr>
          <a:solidFill>
            <a:schemeClr val="accent1"/>
          </a:solidFill>
          <a:ln w="28575" cap="rnd">
            <a:solidFill>
              <a:schemeClr val="accent1"/>
            </a:solidFill>
            <a:round/>
          </a:ln>
          <a:effectLst/>
        </c:spPr>
        <c:marker>
          <c:symbol val="circle"/>
          <c:size val="5"/>
          <c:spPr>
            <a:solidFill>
              <a:schemeClr val="accent5">
                <a:lumMod val="80000"/>
              </a:schemeClr>
            </a:solidFill>
            <a:ln w="9525">
              <a:solidFill>
                <a:schemeClr val="accent5">
                  <a:lumMod val="80000"/>
                </a:schemeClr>
              </a:solidFill>
            </a:ln>
            <a:effectLst/>
          </c:spPr>
        </c:marker>
      </c:pivotFmt>
      <c:pivotFmt>
        <c:idx val="88"/>
        <c:spPr>
          <a:solidFill>
            <a:schemeClr val="accent1"/>
          </a:solidFill>
          <a:ln w="28575" cap="rnd">
            <a:solidFill>
              <a:schemeClr val="accent1"/>
            </a:solidFill>
            <a:round/>
          </a:ln>
          <a:effectLst/>
        </c:spPr>
        <c:marker>
          <c:symbol val="circle"/>
          <c:size val="5"/>
          <c:spPr>
            <a:solidFill>
              <a:schemeClr val="accent6">
                <a:lumMod val="80000"/>
              </a:schemeClr>
            </a:solidFill>
            <a:ln w="9525">
              <a:solidFill>
                <a:schemeClr val="accent6">
                  <a:lumMod val="80000"/>
                </a:schemeClr>
              </a:solidFill>
            </a:ln>
            <a:effectLst/>
          </c:spPr>
        </c:marker>
      </c:pivotFmt>
      <c:pivotFmt>
        <c:idx val="89"/>
        <c:spPr>
          <a:solidFill>
            <a:schemeClr val="accent1"/>
          </a:solidFill>
          <a:ln w="28575" cap="rnd">
            <a:solidFill>
              <a:schemeClr val="accent1"/>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pivotFmt>
      <c:pivotFmt>
        <c:idx val="90"/>
        <c:spPr>
          <a:solidFill>
            <a:schemeClr val="accent1"/>
          </a:solidFill>
          <a:ln w="28575" cap="rnd">
            <a:solidFill>
              <a:schemeClr val="accent1"/>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pivotFmt>
      <c:pivotFmt>
        <c:idx val="91"/>
        <c:spPr>
          <a:solidFill>
            <a:schemeClr val="accent1"/>
          </a:solidFill>
          <a:ln w="28575" cap="rnd">
            <a:solidFill>
              <a:schemeClr val="accent1"/>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pivotFmt>
      <c:pivotFmt>
        <c:idx val="92"/>
        <c:spPr>
          <a:solidFill>
            <a:schemeClr val="accent1"/>
          </a:solidFill>
          <a:ln w="28575" cap="rnd">
            <a:solidFill>
              <a:schemeClr val="accent1"/>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pivotFmt>
      <c:pivotFmt>
        <c:idx val="93"/>
        <c:spPr>
          <a:solidFill>
            <a:schemeClr val="accent1"/>
          </a:solidFill>
          <a:ln w="28575" cap="rnd">
            <a:solidFill>
              <a:schemeClr val="accent1"/>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pivotFmt>
      <c:pivotFmt>
        <c:idx val="94"/>
        <c:spPr>
          <a:solidFill>
            <a:schemeClr val="accent1"/>
          </a:solidFill>
          <a:ln w="28575" cap="rnd">
            <a:solidFill>
              <a:schemeClr val="accent1"/>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pivotFmt>
      <c:pivotFmt>
        <c:idx val="95"/>
        <c:spPr>
          <a:solidFill>
            <a:schemeClr val="accent1"/>
          </a:solidFill>
          <a:ln w="28575" cap="rnd">
            <a:solidFill>
              <a:schemeClr val="accent1"/>
            </a:solidFill>
            <a:round/>
          </a:ln>
          <a:effectLst/>
        </c:spPr>
        <c:marker>
          <c:symbol val="circle"/>
          <c:size val="5"/>
          <c:spPr>
            <a:solidFill>
              <a:schemeClr val="accent1">
                <a:lumMod val="50000"/>
              </a:schemeClr>
            </a:solidFill>
            <a:ln w="9525">
              <a:solidFill>
                <a:schemeClr val="accent1">
                  <a:lumMod val="50000"/>
                </a:schemeClr>
              </a:solidFill>
            </a:ln>
            <a:effectLst/>
          </c:spPr>
        </c:marker>
      </c:pivotFmt>
    </c:pivotFmts>
    <c:plotArea>
      <c:layout/>
      <c:lineChart>
        <c:grouping val="standard"/>
        <c:varyColors val="1"/>
        <c:ser>
          <c:idx val="0"/>
          <c:order val="0"/>
          <c:tx>
            <c:strRef>
              <c:f>Sheet1!$Y$2</c:f>
              <c:strCache>
                <c:ptCount val="1"/>
                <c:pt idx="0">
                  <c:v>Total</c:v>
                </c:pt>
              </c:strCache>
            </c:strRef>
          </c:tx>
          <c:marker>
            <c:symbol val="circle"/>
            <c:size val="5"/>
          </c:marker>
          <c:dPt>
            <c:idx val="0"/>
            <c:marker>
              <c:spPr>
                <a:solidFill>
                  <a:schemeClr val="accent1"/>
                </a:solidFill>
                <a:ln w="9525">
                  <a:solidFill>
                    <a:schemeClr val="accent1"/>
                  </a:solidFill>
                </a:ln>
                <a:effectLst/>
              </c:spPr>
            </c:marker>
            <c:bubble3D val="0"/>
            <c:spPr>
              <a:ln w="28575" cap="rnd">
                <a:solidFill>
                  <a:schemeClr val="accent1"/>
                </a:solidFill>
                <a:round/>
              </a:ln>
              <a:effectLst/>
            </c:spPr>
            <c:extLst>
              <c:ext xmlns:c16="http://schemas.microsoft.com/office/drawing/2014/chart" uri="{C3380CC4-5D6E-409C-BE32-E72D297353CC}">
                <c16:uniqueId val="{00000001-32C6-4049-BB2D-944709CAD970}"/>
              </c:ext>
            </c:extLst>
          </c:dPt>
          <c:dPt>
            <c:idx val="1"/>
            <c:marker>
              <c:spPr>
                <a:solidFill>
                  <a:schemeClr val="accent2"/>
                </a:solidFill>
                <a:ln w="9525">
                  <a:solidFill>
                    <a:schemeClr val="accent2"/>
                  </a:solidFill>
                </a:ln>
                <a:effectLst/>
              </c:spPr>
            </c:marker>
            <c:bubble3D val="0"/>
            <c:spPr>
              <a:ln w="28575" cap="rnd">
                <a:solidFill>
                  <a:schemeClr val="accent2"/>
                </a:solidFill>
                <a:round/>
              </a:ln>
              <a:effectLst/>
            </c:spPr>
            <c:extLst>
              <c:ext xmlns:c16="http://schemas.microsoft.com/office/drawing/2014/chart" uri="{C3380CC4-5D6E-409C-BE32-E72D297353CC}">
                <c16:uniqueId val="{00000003-32C6-4049-BB2D-944709CAD970}"/>
              </c:ext>
            </c:extLst>
          </c:dPt>
          <c:dPt>
            <c:idx val="2"/>
            <c:marker>
              <c:spPr>
                <a:solidFill>
                  <a:schemeClr val="accent3"/>
                </a:solidFill>
                <a:ln w="9525">
                  <a:solidFill>
                    <a:schemeClr val="accent3"/>
                  </a:solidFill>
                </a:ln>
                <a:effectLst/>
              </c:spPr>
            </c:marker>
            <c:bubble3D val="0"/>
            <c:spPr>
              <a:ln w="28575" cap="rnd">
                <a:solidFill>
                  <a:schemeClr val="accent3"/>
                </a:solidFill>
                <a:round/>
              </a:ln>
              <a:effectLst/>
            </c:spPr>
            <c:extLst>
              <c:ext xmlns:c16="http://schemas.microsoft.com/office/drawing/2014/chart" uri="{C3380CC4-5D6E-409C-BE32-E72D297353CC}">
                <c16:uniqueId val="{00000005-32C6-4049-BB2D-944709CAD970}"/>
              </c:ext>
            </c:extLst>
          </c:dPt>
          <c:dPt>
            <c:idx val="3"/>
            <c:marker>
              <c:spPr>
                <a:solidFill>
                  <a:schemeClr val="accent4"/>
                </a:solidFill>
                <a:ln w="9525">
                  <a:solidFill>
                    <a:schemeClr val="accent4"/>
                  </a:solidFill>
                </a:ln>
                <a:effectLst/>
              </c:spPr>
            </c:marker>
            <c:bubble3D val="0"/>
            <c:spPr>
              <a:ln w="28575" cap="rnd">
                <a:solidFill>
                  <a:schemeClr val="accent4"/>
                </a:solidFill>
                <a:round/>
              </a:ln>
              <a:effectLst/>
            </c:spPr>
            <c:extLst>
              <c:ext xmlns:c16="http://schemas.microsoft.com/office/drawing/2014/chart" uri="{C3380CC4-5D6E-409C-BE32-E72D297353CC}">
                <c16:uniqueId val="{00000007-32C6-4049-BB2D-944709CAD970}"/>
              </c:ext>
            </c:extLst>
          </c:dPt>
          <c:dPt>
            <c:idx val="4"/>
            <c:marker>
              <c:spPr>
                <a:solidFill>
                  <a:schemeClr val="accent5"/>
                </a:solidFill>
                <a:ln w="9525">
                  <a:solidFill>
                    <a:schemeClr val="accent5"/>
                  </a:solidFill>
                </a:ln>
                <a:effectLst/>
              </c:spPr>
            </c:marker>
            <c:bubble3D val="0"/>
            <c:spPr>
              <a:ln w="28575" cap="rnd">
                <a:solidFill>
                  <a:schemeClr val="accent5"/>
                </a:solidFill>
                <a:round/>
              </a:ln>
              <a:effectLst/>
            </c:spPr>
            <c:extLst>
              <c:ext xmlns:c16="http://schemas.microsoft.com/office/drawing/2014/chart" uri="{C3380CC4-5D6E-409C-BE32-E72D297353CC}">
                <c16:uniqueId val="{00000009-32C6-4049-BB2D-944709CAD970}"/>
              </c:ext>
            </c:extLst>
          </c:dPt>
          <c:dPt>
            <c:idx val="5"/>
            <c:marker>
              <c:spPr>
                <a:solidFill>
                  <a:schemeClr val="accent6"/>
                </a:solidFill>
                <a:ln w="9525">
                  <a:solidFill>
                    <a:schemeClr val="accent6"/>
                  </a:solidFill>
                </a:ln>
                <a:effectLst/>
              </c:spPr>
            </c:marker>
            <c:bubble3D val="0"/>
            <c:spPr>
              <a:ln w="28575" cap="rnd">
                <a:solidFill>
                  <a:schemeClr val="accent6"/>
                </a:solidFill>
                <a:round/>
              </a:ln>
              <a:effectLst/>
            </c:spPr>
            <c:extLst>
              <c:ext xmlns:c16="http://schemas.microsoft.com/office/drawing/2014/chart" uri="{C3380CC4-5D6E-409C-BE32-E72D297353CC}">
                <c16:uniqueId val="{0000000B-32C6-4049-BB2D-944709CAD970}"/>
              </c:ext>
            </c:extLst>
          </c:dPt>
          <c:dPt>
            <c:idx val="6"/>
            <c:marker>
              <c:spPr>
                <a:solidFill>
                  <a:schemeClr val="accent1">
                    <a:lumMod val="60000"/>
                  </a:schemeClr>
                </a:solidFill>
                <a:ln w="9525">
                  <a:solidFill>
                    <a:schemeClr val="accent1">
                      <a:lumMod val="60000"/>
                    </a:schemeClr>
                  </a:solidFill>
                </a:ln>
                <a:effectLst/>
              </c:spPr>
            </c:marker>
            <c:bubble3D val="0"/>
            <c:spPr>
              <a:ln w="28575" cap="rnd">
                <a:solidFill>
                  <a:schemeClr val="accent1">
                    <a:lumMod val="60000"/>
                  </a:schemeClr>
                </a:solidFill>
                <a:round/>
              </a:ln>
              <a:effectLst/>
            </c:spPr>
            <c:extLst>
              <c:ext xmlns:c16="http://schemas.microsoft.com/office/drawing/2014/chart" uri="{C3380CC4-5D6E-409C-BE32-E72D297353CC}">
                <c16:uniqueId val="{0000000D-32C6-4049-BB2D-944709CAD970}"/>
              </c:ext>
            </c:extLst>
          </c:dPt>
          <c:dPt>
            <c:idx val="7"/>
            <c:marker>
              <c:spPr>
                <a:solidFill>
                  <a:schemeClr val="accent2">
                    <a:lumMod val="60000"/>
                  </a:schemeClr>
                </a:solidFill>
                <a:ln w="9525">
                  <a:solidFill>
                    <a:schemeClr val="accent2">
                      <a:lumMod val="60000"/>
                    </a:schemeClr>
                  </a:solidFill>
                </a:ln>
                <a:effectLst/>
              </c:spPr>
            </c:marker>
            <c:bubble3D val="0"/>
            <c:spPr>
              <a:ln w="28575" cap="rnd">
                <a:solidFill>
                  <a:schemeClr val="accent2">
                    <a:lumMod val="60000"/>
                  </a:schemeClr>
                </a:solidFill>
                <a:round/>
              </a:ln>
              <a:effectLst/>
            </c:spPr>
            <c:extLst>
              <c:ext xmlns:c16="http://schemas.microsoft.com/office/drawing/2014/chart" uri="{C3380CC4-5D6E-409C-BE32-E72D297353CC}">
                <c16:uniqueId val="{0000000F-32C6-4049-BB2D-944709CAD970}"/>
              </c:ext>
            </c:extLst>
          </c:dPt>
          <c:dPt>
            <c:idx val="8"/>
            <c:marker>
              <c:spPr>
                <a:solidFill>
                  <a:schemeClr val="accent3">
                    <a:lumMod val="60000"/>
                  </a:schemeClr>
                </a:solidFill>
                <a:ln w="9525">
                  <a:solidFill>
                    <a:schemeClr val="accent3">
                      <a:lumMod val="60000"/>
                    </a:schemeClr>
                  </a:solidFill>
                </a:ln>
                <a:effectLst/>
              </c:spPr>
            </c:marker>
            <c:bubble3D val="0"/>
            <c:spPr>
              <a:ln w="28575" cap="rnd">
                <a:solidFill>
                  <a:schemeClr val="accent3">
                    <a:lumMod val="60000"/>
                  </a:schemeClr>
                </a:solidFill>
                <a:round/>
              </a:ln>
              <a:effectLst/>
            </c:spPr>
            <c:extLst>
              <c:ext xmlns:c16="http://schemas.microsoft.com/office/drawing/2014/chart" uri="{C3380CC4-5D6E-409C-BE32-E72D297353CC}">
                <c16:uniqueId val="{00000011-32C6-4049-BB2D-944709CAD970}"/>
              </c:ext>
            </c:extLst>
          </c:dPt>
          <c:dPt>
            <c:idx val="9"/>
            <c:marker>
              <c:spPr>
                <a:solidFill>
                  <a:schemeClr val="accent4">
                    <a:lumMod val="60000"/>
                  </a:schemeClr>
                </a:solidFill>
                <a:ln w="9525">
                  <a:solidFill>
                    <a:schemeClr val="accent4">
                      <a:lumMod val="60000"/>
                    </a:schemeClr>
                  </a:solidFill>
                </a:ln>
                <a:effectLst/>
              </c:spPr>
            </c:marker>
            <c:bubble3D val="0"/>
            <c:spPr>
              <a:ln w="28575" cap="rnd">
                <a:solidFill>
                  <a:schemeClr val="accent4">
                    <a:lumMod val="60000"/>
                  </a:schemeClr>
                </a:solidFill>
                <a:round/>
              </a:ln>
              <a:effectLst/>
            </c:spPr>
            <c:extLst>
              <c:ext xmlns:c16="http://schemas.microsoft.com/office/drawing/2014/chart" uri="{C3380CC4-5D6E-409C-BE32-E72D297353CC}">
                <c16:uniqueId val="{00000013-32C6-4049-BB2D-944709CAD970}"/>
              </c:ext>
            </c:extLst>
          </c:dPt>
          <c:dPt>
            <c:idx val="10"/>
            <c:marker>
              <c:spPr>
                <a:solidFill>
                  <a:schemeClr val="accent5">
                    <a:lumMod val="60000"/>
                  </a:schemeClr>
                </a:solidFill>
                <a:ln w="9525">
                  <a:solidFill>
                    <a:schemeClr val="accent5">
                      <a:lumMod val="60000"/>
                    </a:schemeClr>
                  </a:solidFill>
                </a:ln>
                <a:effectLst/>
              </c:spPr>
            </c:marker>
            <c:bubble3D val="0"/>
            <c:spPr>
              <a:ln w="28575" cap="rnd">
                <a:solidFill>
                  <a:schemeClr val="accent5">
                    <a:lumMod val="60000"/>
                  </a:schemeClr>
                </a:solidFill>
                <a:round/>
              </a:ln>
              <a:effectLst/>
            </c:spPr>
            <c:extLst>
              <c:ext xmlns:c16="http://schemas.microsoft.com/office/drawing/2014/chart" uri="{C3380CC4-5D6E-409C-BE32-E72D297353CC}">
                <c16:uniqueId val="{00000015-32C6-4049-BB2D-944709CAD970}"/>
              </c:ext>
            </c:extLst>
          </c:dPt>
          <c:dPt>
            <c:idx val="11"/>
            <c:marker>
              <c:spPr>
                <a:solidFill>
                  <a:schemeClr val="accent6">
                    <a:lumMod val="60000"/>
                  </a:schemeClr>
                </a:solidFill>
                <a:ln w="9525">
                  <a:solidFill>
                    <a:schemeClr val="accent6">
                      <a:lumMod val="60000"/>
                    </a:schemeClr>
                  </a:solidFill>
                </a:ln>
                <a:effectLst/>
              </c:spPr>
            </c:marker>
            <c:bubble3D val="0"/>
            <c:spPr>
              <a:ln w="28575" cap="rnd">
                <a:solidFill>
                  <a:schemeClr val="accent6">
                    <a:lumMod val="60000"/>
                  </a:schemeClr>
                </a:solidFill>
                <a:round/>
              </a:ln>
              <a:effectLst/>
            </c:spPr>
            <c:extLst>
              <c:ext xmlns:c16="http://schemas.microsoft.com/office/drawing/2014/chart" uri="{C3380CC4-5D6E-409C-BE32-E72D297353CC}">
                <c16:uniqueId val="{00000017-32C6-4049-BB2D-944709CAD970}"/>
              </c:ext>
            </c:extLst>
          </c:dPt>
          <c:dPt>
            <c:idx val="12"/>
            <c:marker>
              <c:spPr>
                <a:solidFill>
                  <a:schemeClr val="accent1">
                    <a:lumMod val="80000"/>
                    <a:lumOff val="20000"/>
                  </a:schemeClr>
                </a:solidFill>
                <a:ln w="9525">
                  <a:solidFill>
                    <a:schemeClr val="accent1">
                      <a:lumMod val="80000"/>
                      <a:lumOff val="20000"/>
                    </a:schemeClr>
                  </a:solidFill>
                </a:ln>
                <a:effectLst/>
              </c:spPr>
            </c:marker>
            <c:bubble3D val="0"/>
            <c:spPr>
              <a:ln w="28575" cap="rnd">
                <a:solidFill>
                  <a:schemeClr val="accent1">
                    <a:lumMod val="80000"/>
                    <a:lumOff val="20000"/>
                  </a:schemeClr>
                </a:solidFill>
                <a:round/>
              </a:ln>
              <a:effectLst/>
            </c:spPr>
            <c:extLst>
              <c:ext xmlns:c16="http://schemas.microsoft.com/office/drawing/2014/chart" uri="{C3380CC4-5D6E-409C-BE32-E72D297353CC}">
                <c16:uniqueId val="{00000019-32C6-4049-BB2D-944709CAD970}"/>
              </c:ext>
            </c:extLst>
          </c:dPt>
          <c:dPt>
            <c:idx val="13"/>
            <c:marker>
              <c:spPr>
                <a:solidFill>
                  <a:schemeClr val="accent2">
                    <a:lumMod val="80000"/>
                    <a:lumOff val="20000"/>
                  </a:schemeClr>
                </a:solidFill>
                <a:ln w="9525">
                  <a:solidFill>
                    <a:schemeClr val="accent2">
                      <a:lumMod val="80000"/>
                      <a:lumOff val="20000"/>
                    </a:schemeClr>
                  </a:solidFill>
                </a:ln>
                <a:effectLst/>
              </c:spPr>
            </c:marker>
            <c:bubble3D val="0"/>
            <c:spPr>
              <a:ln w="28575" cap="rnd">
                <a:solidFill>
                  <a:schemeClr val="accent2">
                    <a:lumMod val="80000"/>
                    <a:lumOff val="20000"/>
                  </a:schemeClr>
                </a:solidFill>
                <a:round/>
              </a:ln>
              <a:effectLst/>
            </c:spPr>
            <c:extLst>
              <c:ext xmlns:c16="http://schemas.microsoft.com/office/drawing/2014/chart" uri="{C3380CC4-5D6E-409C-BE32-E72D297353CC}">
                <c16:uniqueId val="{0000001B-32C6-4049-BB2D-944709CAD970}"/>
              </c:ext>
            </c:extLst>
          </c:dPt>
          <c:dPt>
            <c:idx val="14"/>
            <c:marker>
              <c:spPr>
                <a:solidFill>
                  <a:schemeClr val="accent3">
                    <a:lumMod val="80000"/>
                    <a:lumOff val="20000"/>
                  </a:schemeClr>
                </a:solidFill>
                <a:ln w="9525">
                  <a:solidFill>
                    <a:schemeClr val="accent3">
                      <a:lumMod val="80000"/>
                      <a:lumOff val="20000"/>
                    </a:schemeClr>
                  </a:solidFill>
                </a:ln>
                <a:effectLst/>
              </c:spPr>
            </c:marker>
            <c:bubble3D val="0"/>
            <c:spPr>
              <a:ln w="28575" cap="rnd">
                <a:solidFill>
                  <a:schemeClr val="accent3">
                    <a:lumMod val="80000"/>
                    <a:lumOff val="20000"/>
                  </a:schemeClr>
                </a:solidFill>
                <a:round/>
              </a:ln>
              <a:effectLst/>
            </c:spPr>
            <c:extLst>
              <c:ext xmlns:c16="http://schemas.microsoft.com/office/drawing/2014/chart" uri="{C3380CC4-5D6E-409C-BE32-E72D297353CC}">
                <c16:uniqueId val="{0000001D-32C6-4049-BB2D-944709CAD970}"/>
              </c:ext>
            </c:extLst>
          </c:dPt>
          <c:dPt>
            <c:idx val="15"/>
            <c:marker>
              <c:spPr>
                <a:solidFill>
                  <a:schemeClr val="accent4">
                    <a:lumMod val="80000"/>
                    <a:lumOff val="20000"/>
                  </a:schemeClr>
                </a:solidFill>
                <a:ln w="9525">
                  <a:solidFill>
                    <a:schemeClr val="accent4">
                      <a:lumMod val="80000"/>
                      <a:lumOff val="20000"/>
                    </a:schemeClr>
                  </a:solidFill>
                </a:ln>
                <a:effectLst/>
              </c:spPr>
            </c:marker>
            <c:bubble3D val="0"/>
            <c:spPr>
              <a:ln w="28575" cap="rnd">
                <a:solidFill>
                  <a:schemeClr val="accent4">
                    <a:lumMod val="80000"/>
                    <a:lumOff val="20000"/>
                  </a:schemeClr>
                </a:solidFill>
                <a:round/>
              </a:ln>
              <a:effectLst/>
            </c:spPr>
            <c:extLst>
              <c:ext xmlns:c16="http://schemas.microsoft.com/office/drawing/2014/chart" uri="{C3380CC4-5D6E-409C-BE32-E72D297353CC}">
                <c16:uniqueId val="{0000001F-32C6-4049-BB2D-944709CAD970}"/>
              </c:ext>
            </c:extLst>
          </c:dPt>
          <c:dPt>
            <c:idx val="16"/>
            <c:marker>
              <c:spPr>
                <a:solidFill>
                  <a:schemeClr val="accent5">
                    <a:lumMod val="80000"/>
                    <a:lumOff val="20000"/>
                  </a:schemeClr>
                </a:solidFill>
                <a:ln w="9525">
                  <a:solidFill>
                    <a:schemeClr val="accent5">
                      <a:lumMod val="80000"/>
                      <a:lumOff val="20000"/>
                    </a:schemeClr>
                  </a:solidFill>
                </a:ln>
                <a:effectLst/>
              </c:spPr>
            </c:marker>
            <c:bubble3D val="0"/>
            <c:spPr>
              <a:ln w="28575" cap="rnd">
                <a:solidFill>
                  <a:schemeClr val="accent5">
                    <a:lumMod val="80000"/>
                    <a:lumOff val="20000"/>
                  </a:schemeClr>
                </a:solidFill>
                <a:round/>
              </a:ln>
              <a:effectLst/>
            </c:spPr>
            <c:extLst>
              <c:ext xmlns:c16="http://schemas.microsoft.com/office/drawing/2014/chart" uri="{C3380CC4-5D6E-409C-BE32-E72D297353CC}">
                <c16:uniqueId val="{00000021-32C6-4049-BB2D-944709CAD970}"/>
              </c:ext>
            </c:extLst>
          </c:dPt>
          <c:dPt>
            <c:idx val="17"/>
            <c:marker>
              <c:spPr>
                <a:solidFill>
                  <a:schemeClr val="accent6">
                    <a:lumMod val="80000"/>
                    <a:lumOff val="20000"/>
                  </a:schemeClr>
                </a:solidFill>
                <a:ln w="9525">
                  <a:solidFill>
                    <a:schemeClr val="accent6">
                      <a:lumMod val="80000"/>
                      <a:lumOff val="20000"/>
                    </a:schemeClr>
                  </a:solidFill>
                </a:ln>
                <a:effectLst/>
              </c:spPr>
            </c:marker>
            <c:bubble3D val="0"/>
            <c:spPr>
              <a:ln w="28575" cap="rnd">
                <a:solidFill>
                  <a:schemeClr val="accent6">
                    <a:lumMod val="80000"/>
                    <a:lumOff val="20000"/>
                  </a:schemeClr>
                </a:solidFill>
                <a:round/>
              </a:ln>
              <a:effectLst/>
            </c:spPr>
            <c:extLst>
              <c:ext xmlns:c16="http://schemas.microsoft.com/office/drawing/2014/chart" uri="{C3380CC4-5D6E-409C-BE32-E72D297353CC}">
                <c16:uniqueId val="{00000023-32C6-4049-BB2D-944709CAD970}"/>
              </c:ext>
            </c:extLst>
          </c:dPt>
          <c:dPt>
            <c:idx val="18"/>
            <c:marker>
              <c:spPr>
                <a:solidFill>
                  <a:schemeClr val="accent1">
                    <a:lumMod val="80000"/>
                  </a:schemeClr>
                </a:solidFill>
                <a:ln w="9525">
                  <a:solidFill>
                    <a:schemeClr val="accent1">
                      <a:lumMod val="80000"/>
                    </a:schemeClr>
                  </a:solidFill>
                </a:ln>
                <a:effectLst/>
              </c:spPr>
            </c:marker>
            <c:bubble3D val="0"/>
            <c:spPr>
              <a:ln w="28575" cap="rnd">
                <a:solidFill>
                  <a:schemeClr val="accent1">
                    <a:lumMod val="80000"/>
                  </a:schemeClr>
                </a:solidFill>
                <a:round/>
              </a:ln>
              <a:effectLst/>
            </c:spPr>
            <c:extLst>
              <c:ext xmlns:c16="http://schemas.microsoft.com/office/drawing/2014/chart" uri="{C3380CC4-5D6E-409C-BE32-E72D297353CC}">
                <c16:uniqueId val="{00000025-32C6-4049-BB2D-944709CAD970}"/>
              </c:ext>
            </c:extLst>
          </c:dPt>
          <c:dPt>
            <c:idx val="19"/>
            <c:marker>
              <c:spPr>
                <a:solidFill>
                  <a:schemeClr val="accent2">
                    <a:lumMod val="80000"/>
                  </a:schemeClr>
                </a:solidFill>
                <a:ln w="9525">
                  <a:solidFill>
                    <a:schemeClr val="accent2">
                      <a:lumMod val="80000"/>
                    </a:schemeClr>
                  </a:solidFill>
                </a:ln>
                <a:effectLst/>
              </c:spPr>
            </c:marker>
            <c:bubble3D val="0"/>
            <c:spPr>
              <a:ln w="28575" cap="rnd">
                <a:solidFill>
                  <a:schemeClr val="accent2">
                    <a:lumMod val="80000"/>
                  </a:schemeClr>
                </a:solidFill>
                <a:round/>
              </a:ln>
              <a:effectLst/>
            </c:spPr>
            <c:extLst>
              <c:ext xmlns:c16="http://schemas.microsoft.com/office/drawing/2014/chart" uri="{C3380CC4-5D6E-409C-BE32-E72D297353CC}">
                <c16:uniqueId val="{00000027-32C6-4049-BB2D-944709CAD970}"/>
              </c:ext>
            </c:extLst>
          </c:dPt>
          <c:dPt>
            <c:idx val="20"/>
            <c:marker>
              <c:spPr>
                <a:solidFill>
                  <a:schemeClr val="accent3">
                    <a:lumMod val="80000"/>
                  </a:schemeClr>
                </a:solidFill>
                <a:ln w="9525">
                  <a:solidFill>
                    <a:schemeClr val="accent3">
                      <a:lumMod val="80000"/>
                    </a:schemeClr>
                  </a:solidFill>
                </a:ln>
                <a:effectLst/>
              </c:spPr>
            </c:marker>
            <c:bubble3D val="0"/>
            <c:spPr>
              <a:ln w="28575" cap="rnd">
                <a:solidFill>
                  <a:schemeClr val="accent3">
                    <a:lumMod val="80000"/>
                  </a:schemeClr>
                </a:solidFill>
                <a:round/>
              </a:ln>
              <a:effectLst/>
            </c:spPr>
            <c:extLst>
              <c:ext xmlns:c16="http://schemas.microsoft.com/office/drawing/2014/chart" uri="{C3380CC4-5D6E-409C-BE32-E72D297353CC}">
                <c16:uniqueId val="{00000029-32C6-4049-BB2D-944709CAD970}"/>
              </c:ext>
            </c:extLst>
          </c:dPt>
          <c:dPt>
            <c:idx val="21"/>
            <c:marker>
              <c:spPr>
                <a:solidFill>
                  <a:schemeClr val="accent4">
                    <a:lumMod val="80000"/>
                  </a:schemeClr>
                </a:solidFill>
                <a:ln w="9525">
                  <a:solidFill>
                    <a:schemeClr val="accent4">
                      <a:lumMod val="80000"/>
                    </a:schemeClr>
                  </a:solidFill>
                </a:ln>
                <a:effectLst/>
              </c:spPr>
            </c:marker>
            <c:bubble3D val="0"/>
            <c:spPr>
              <a:ln w="28575" cap="rnd">
                <a:solidFill>
                  <a:schemeClr val="accent4">
                    <a:lumMod val="80000"/>
                  </a:schemeClr>
                </a:solidFill>
                <a:round/>
              </a:ln>
              <a:effectLst/>
            </c:spPr>
            <c:extLst>
              <c:ext xmlns:c16="http://schemas.microsoft.com/office/drawing/2014/chart" uri="{C3380CC4-5D6E-409C-BE32-E72D297353CC}">
                <c16:uniqueId val="{0000002B-32C6-4049-BB2D-944709CAD970}"/>
              </c:ext>
            </c:extLst>
          </c:dPt>
          <c:dPt>
            <c:idx val="22"/>
            <c:marker>
              <c:spPr>
                <a:solidFill>
                  <a:schemeClr val="accent5">
                    <a:lumMod val="80000"/>
                  </a:schemeClr>
                </a:solidFill>
                <a:ln w="9525">
                  <a:solidFill>
                    <a:schemeClr val="accent5">
                      <a:lumMod val="80000"/>
                    </a:schemeClr>
                  </a:solidFill>
                </a:ln>
                <a:effectLst/>
              </c:spPr>
            </c:marker>
            <c:bubble3D val="0"/>
            <c:spPr>
              <a:ln w="28575" cap="rnd">
                <a:solidFill>
                  <a:schemeClr val="accent5">
                    <a:lumMod val="80000"/>
                  </a:schemeClr>
                </a:solidFill>
                <a:round/>
              </a:ln>
              <a:effectLst/>
            </c:spPr>
            <c:extLst>
              <c:ext xmlns:c16="http://schemas.microsoft.com/office/drawing/2014/chart" uri="{C3380CC4-5D6E-409C-BE32-E72D297353CC}">
                <c16:uniqueId val="{0000002D-32C6-4049-BB2D-944709CAD970}"/>
              </c:ext>
            </c:extLst>
          </c:dPt>
          <c:dPt>
            <c:idx val="23"/>
            <c:marker>
              <c:spPr>
                <a:solidFill>
                  <a:schemeClr val="accent6">
                    <a:lumMod val="80000"/>
                  </a:schemeClr>
                </a:solidFill>
                <a:ln w="9525">
                  <a:solidFill>
                    <a:schemeClr val="accent6">
                      <a:lumMod val="80000"/>
                    </a:schemeClr>
                  </a:solidFill>
                </a:ln>
                <a:effectLst/>
              </c:spPr>
            </c:marker>
            <c:bubble3D val="0"/>
            <c:spPr>
              <a:ln w="28575" cap="rnd">
                <a:solidFill>
                  <a:schemeClr val="accent6">
                    <a:lumMod val="80000"/>
                  </a:schemeClr>
                </a:solidFill>
                <a:round/>
              </a:ln>
              <a:effectLst/>
            </c:spPr>
            <c:extLst>
              <c:ext xmlns:c16="http://schemas.microsoft.com/office/drawing/2014/chart" uri="{C3380CC4-5D6E-409C-BE32-E72D297353CC}">
                <c16:uniqueId val="{0000002F-32C6-4049-BB2D-944709CAD970}"/>
              </c:ext>
            </c:extLst>
          </c:dPt>
          <c:dPt>
            <c:idx val="24"/>
            <c:marker>
              <c:spPr>
                <a:solidFill>
                  <a:schemeClr val="accent1">
                    <a:lumMod val="60000"/>
                    <a:lumOff val="40000"/>
                  </a:schemeClr>
                </a:solidFill>
                <a:ln w="9525">
                  <a:solidFill>
                    <a:schemeClr val="accent1">
                      <a:lumMod val="60000"/>
                      <a:lumOff val="40000"/>
                    </a:schemeClr>
                  </a:solidFill>
                </a:ln>
                <a:effectLst/>
              </c:spPr>
            </c:marker>
            <c:bubble3D val="0"/>
            <c:spPr>
              <a:ln w="28575" cap="rnd">
                <a:solidFill>
                  <a:schemeClr val="accent1">
                    <a:lumMod val="60000"/>
                    <a:lumOff val="40000"/>
                  </a:schemeClr>
                </a:solidFill>
                <a:round/>
              </a:ln>
              <a:effectLst/>
            </c:spPr>
            <c:extLst>
              <c:ext xmlns:c16="http://schemas.microsoft.com/office/drawing/2014/chart" uri="{C3380CC4-5D6E-409C-BE32-E72D297353CC}">
                <c16:uniqueId val="{00000031-32C6-4049-BB2D-944709CAD970}"/>
              </c:ext>
            </c:extLst>
          </c:dPt>
          <c:dPt>
            <c:idx val="25"/>
            <c:marker>
              <c:spPr>
                <a:solidFill>
                  <a:schemeClr val="accent2">
                    <a:lumMod val="60000"/>
                    <a:lumOff val="40000"/>
                  </a:schemeClr>
                </a:solidFill>
                <a:ln w="9525">
                  <a:solidFill>
                    <a:schemeClr val="accent2">
                      <a:lumMod val="60000"/>
                      <a:lumOff val="40000"/>
                    </a:schemeClr>
                  </a:solidFill>
                </a:ln>
                <a:effectLst/>
              </c:spPr>
            </c:marker>
            <c:bubble3D val="0"/>
            <c:spPr>
              <a:ln w="28575" cap="rnd">
                <a:solidFill>
                  <a:schemeClr val="accent2">
                    <a:lumMod val="60000"/>
                    <a:lumOff val="40000"/>
                  </a:schemeClr>
                </a:solidFill>
                <a:round/>
              </a:ln>
              <a:effectLst/>
            </c:spPr>
            <c:extLst>
              <c:ext xmlns:c16="http://schemas.microsoft.com/office/drawing/2014/chart" uri="{C3380CC4-5D6E-409C-BE32-E72D297353CC}">
                <c16:uniqueId val="{00000033-32C6-4049-BB2D-944709CAD970}"/>
              </c:ext>
            </c:extLst>
          </c:dPt>
          <c:dPt>
            <c:idx val="26"/>
            <c:marker>
              <c:spPr>
                <a:solidFill>
                  <a:schemeClr val="accent3">
                    <a:lumMod val="60000"/>
                    <a:lumOff val="40000"/>
                  </a:schemeClr>
                </a:solidFill>
                <a:ln w="9525">
                  <a:solidFill>
                    <a:schemeClr val="accent3">
                      <a:lumMod val="60000"/>
                      <a:lumOff val="40000"/>
                    </a:schemeClr>
                  </a:solidFill>
                </a:ln>
                <a:effectLst/>
              </c:spPr>
            </c:marker>
            <c:bubble3D val="0"/>
            <c:spPr>
              <a:ln w="28575" cap="rnd">
                <a:solidFill>
                  <a:schemeClr val="accent3">
                    <a:lumMod val="60000"/>
                    <a:lumOff val="40000"/>
                  </a:schemeClr>
                </a:solidFill>
                <a:round/>
              </a:ln>
              <a:effectLst/>
            </c:spPr>
            <c:extLst>
              <c:ext xmlns:c16="http://schemas.microsoft.com/office/drawing/2014/chart" uri="{C3380CC4-5D6E-409C-BE32-E72D297353CC}">
                <c16:uniqueId val="{00000035-32C6-4049-BB2D-944709CAD970}"/>
              </c:ext>
            </c:extLst>
          </c:dPt>
          <c:dPt>
            <c:idx val="27"/>
            <c:marker>
              <c:spPr>
                <a:solidFill>
                  <a:schemeClr val="accent4">
                    <a:lumMod val="60000"/>
                    <a:lumOff val="40000"/>
                  </a:schemeClr>
                </a:solidFill>
                <a:ln w="9525">
                  <a:solidFill>
                    <a:schemeClr val="accent4">
                      <a:lumMod val="60000"/>
                      <a:lumOff val="40000"/>
                    </a:schemeClr>
                  </a:solidFill>
                </a:ln>
                <a:effectLst/>
              </c:spPr>
            </c:marker>
            <c:bubble3D val="0"/>
            <c:spPr>
              <a:ln w="28575" cap="rnd">
                <a:solidFill>
                  <a:schemeClr val="accent4">
                    <a:lumMod val="60000"/>
                    <a:lumOff val="40000"/>
                  </a:schemeClr>
                </a:solidFill>
                <a:round/>
              </a:ln>
              <a:effectLst/>
            </c:spPr>
            <c:extLst>
              <c:ext xmlns:c16="http://schemas.microsoft.com/office/drawing/2014/chart" uri="{C3380CC4-5D6E-409C-BE32-E72D297353CC}">
                <c16:uniqueId val="{00000037-32C6-4049-BB2D-944709CAD970}"/>
              </c:ext>
            </c:extLst>
          </c:dPt>
          <c:dPt>
            <c:idx val="28"/>
            <c:marker>
              <c:spPr>
                <a:solidFill>
                  <a:schemeClr val="accent5">
                    <a:lumMod val="60000"/>
                    <a:lumOff val="40000"/>
                  </a:schemeClr>
                </a:solidFill>
                <a:ln w="9525">
                  <a:solidFill>
                    <a:schemeClr val="accent5">
                      <a:lumMod val="60000"/>
                      <a:lumOff val="40000"/>
                    </a:schemeClr>
                  </a:solidFill>
                </a:ln>
                <a:effectLst/>
              </c:spPr>
            </c:marker>
            <c:bubble3D val="0"/>
            <c:spPr>
              <a:ln w="28575" cap="rnd">
                <a:solidFill>
                  <a:schemeClr val="accent5">
                    <a:lumMod val="60000"/>
                    <a:lumOff val="40000"/>
                  </a:schemeClr>
                </a:solidFill>
                <a:round/>
              </a:ln>
              <a:effectLst/>
            </c:spPr>
            <c:extLst>
              <c:ext xmlns:c16="http://schemas.microsoft.com/office/drawing/2014/chart" uri="{C3380CC4-5D6E-409C-BE32-E72D297353CC}">
                <c16:uniqueId val="{00000039-32C6-4049-BB2D-944709CAD970}"/>
              </c:ext>
            </c:extLst>
          </c:dPt>
          <c:dPt>
            <c:idx val="29"/>
            <c:marker>
              <c:spPr>
                <a:solidFill>
                  <a:schemeClr val="accent6">
                    <a:lumMod val="60000"/>
                    <a:lumOff val="40000"/>
                  </a:schemeClr>
                </a:solidFill>
                <a:ln w="9525">
                  <a:solidFill>
                    <a:schemeClr val="accent6">
                      <a:lumMod val="60000"/>
                      <a:lumOff val="40000"/>
                    </a:schemeClr>
                  </a:solidFill>
                </a:ln>
                <a:effectLst/>
              </c:spPr>
            </c:marker>
            <c:bubble3D val="0"/>
            <c:spPr>
              <a:ln w="28575" cap="rnd">
                <a:solidFill>
                  <a:schemeClr val="accent6">
                    <a:lumMod val="60000"/>
                    <a:lumOff val="40000"/>
                  </a:schemeClr>
                </a:solidFill>
                <a:round/>
              </a:ln>
              <a:effectLst/>
            </c:spPr>
            <c:extLst>
              <c:ext xmlns:c16="http://schemas.microsoft.com/office/drawing/2014/chart" uri="{C3380CC4-5D6E-409C-BE32-E72D297353CC}">
                <c16:uniqueId val="{0000003B-32C6-4049-BB2D-944709CAD970}"/>
              </c:ext>
            </c:extLst>
          </c:dPt>
          <c:dPt>
            <c:idx val="30"/>
            <c:marker>
              <c:spPr>
                <a:solidFill>
                  <a:schemeClr val="accent1">
                    <a:lumMod val="50000"/>
                  </a:schemeClr>
                </a:solidFill>
                <a:ln w="9525">
                  <a:solidFill>
                    <a:schemeClr val="accent1">
                      <a:lumMod val="50000"/>
                    </a:schemeClr>
                  </a:solidFill>
                </a:ln>
                <a:effectLst/>
              </c:spPr>
            </c:marker>
            <c:bubble3D val="0"/>
            <c:spPr>
              <a:ln w="28575" cap="rnd">
                <a:solidFill>
                  <a:schemeClr val="accent1">
                    <a:lumMod val="50000"/>
                  </a:schemeClr>
                </a:solidFill>
                <a:round/>
              </a:ln>
              <a:effectLst/>
            </c:spPr>
            <c:extLst>
              <c:ext xmlns:c16="http://schemas.microsoft.com/office/drawing/2014/chart" uri="{C3380CC4-5D6E-409C-BE32-E72D297353CC}">
                <c16:uniqueId val="{0000003D-32C6-4049-BB2D-944709CAD970}"/>
              </c:ext>
            </c:extLst>
          </c:dPt>
          <c:cat>
            <c:strRef>
              <c:f>Sheet1!$X$3:$X$33</c:f>
              <c:strCache>
                <c:ptCount val="31"/>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strCache>
            </c:strRef>
          </c:cat>
          <c:val>
            <c:numRef>
              <c:f>Sheet1!$Y$3:$Y$33</c:f>
              <c:numCache>
                <c:formatCode>General</c:formatCode>
                <c:ptCount val="31"/>
                <c:pt idx="0">
                  <c:v>1276557</c:v>
                </c:pt>
                <c:pt idx="1">
                  <c:v>1288739</c:v>
                </c:pt>
                <c:pt idx="2">
                  <c:v>1304499</c:v>
                </c:pt>
                <c:pt idx="3">
                  <c:v>1288154</c:v>
                </c:pt>
                <c:pt idx="4">
                  <c:v>1299953</c:v>
                </c:pt>
                <c:pt idx="5">
                  <c:v>1304474</c:v>
                </c:pt>
                <c:pt idx="6">
                  <c:v>1310459</c:v>
                </c:pt>
                <c:pt idx="7">
                  <c:v>1312297</c:v>
                </c:pt>
                <c:pt idx="8">
                  <c:v>1303292</c:v>
                </c:pt>
                <c:pt idx="9">
                  <c:v>1320764</c:v>
                </c:pt>
                <c:pt idx="10">
                  <c:v>1314361</c:v>
                </c:pt>
                <c:pt idx="11">
                  <c:v>1318437</c:v>
                </c:pt>
                <c:pt idx="12">
                  <c:v>1277684</c:v>
                </c:pt>
                <c:pt idx="13">
                  <c:v>1320153</c:v>
                </c:pt>
                <c:pt idx="14">
                  <c:v>1319171</c:v>
                </c:pt>
                <c:pt idx="15">
                  <c:v>1315192</c:v>
                </c:pt>
                <c:pt idx="16">
                  <c:v>1324953</c:v>
                </c:pt>
                <c:pt idx="17">
                  <c:v>1326855</c:v>
                </c:pt>
                <c:pt idx="18">
                  <c:v>1318727</c:v>
                </c:pt>
                <c:pt idx="19">
                  <c:v>1324821</c:v>
                </c:pt>
                <c:pt idx="20">
                  <c:v>1322897</c:v>
                </c:pt>
                <c:pt idx="21">
                  <c:v>1317381</c:v>
                </c:pt>
                <c:pt idx="22">
                  <c:v>1293290</c:v>
                </c:pt>
                <c:pt idx="23">
                  <c:v>1288083</c:v>
                </c:pt>
                <c:pt idx="24">
                  <c:v>1272116</c:v>
                </c:pt>
                <c:pt idx="25">
                  <c:v>1284796</c:v>
                </c:pt>
                <c:pt idx="26">
                  <c:v>1294395</c:v>
                </c:pt>
                <c:pt idx="27">
                  <c:v>1307685</c:v>
                </c:pt>
                <c:pt idx="28">
                  <c:v>1223161</c:v>
                </c:pt>
                <c:pt idx="29">
                  <c:v>1202095</c:v>
                </c:pt>
                <c:pt idx="30">
                  <c:v>746696</c:v>
                </c:pt>
              </c:numCache>
            </c:numRef>
          </c:val>
          <c:smooth val="0"/>
          <c:extLst>
            <c:ext xmlns:c16="http://schemas.microsoft.com/office/drawing/2014/chart" uri="{C3380CC4-5D6E-409C-BE32-E72D297353CC}">
              <c16:uniqueId val="{0000003E-32C6-4049-BB2D-944709CAD970}"/>
            </c:ext>
          </c:extLst>
        </c:ser>
        <c:dLbls>
          <c:showLegendKey val="0"/>
          <c:showVal val="0"/>
          <c:showCatName val="0"/>
          <c:showSerName val="0"/>
          <c:showPercent val="0"/>
          <c:showBubbleSize val="0"/>
        </c:dLbls>
        <c:marker val="1"/>
        <c:smooth val="0"/>
        <c:axId val="558906072"/>
        <c:axId val="558905016"/>
      </c:lineChart>
      <c:catAx>
        <c:axId val="55890607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8905016"/>
        <c:crosses val="autoZero"/>
        <c:auto val="1"/>
        <c:lblAlgn val="ctr"/>
        <c:lblOffset val="100"/>
        <c:noMultiLvlLbl val="0"/>
      </c:catAx>
      <c:valAx>
        <c:axId val="558905016"/>
        <c:scaling>
          <c:orientation val="minMax"/>
          <c:min val="60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89060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[US_births_1994-2003_CDC_NCHS.xlsx]Sheet1!PivotTable4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Days</a:t>
            </a:r>
            <a:r>
              <a:rPr lang="en-US" baseline="0"/>
              <a:t> of the Week by Births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pivotFmt>
      <c:pivotFmt>
        <c:idx val="2"/>
        <c:spPr>
          <a:solidFill>
            <a:schemeClr val="accent1"/>
          </a:solidFill>
          <a:ln>
            <a:noFill/>
          </a:ln>
          <a:effectLst/>
        </c:spPr>
      </c:pivotFmt>
      <c:pivotFmt>
        <c:idx val="3"/>
        <c:spPr>
          <a:solidFill>
            <a:schemeClr val="accent1"/>
          </a:solidFill>
          <a:ln>
            <a:noFill/>
          </a:ln>
          <a:effectLst/>
        </c:spPr>
      </c:pivotFmt>
      <c:pivotFmt>
        <c:idx val="4"/>
        <c:spPr>
          <a:solidFill>
            <a:schemeClr val="accent1"/>
          </a:solidFill>
          <a:ln>
            <a:noFill/>
          </a:ln>
          <a:effectLst/>
        </c:spPr>
      </c:pivotFmt>
      <c:pivotFmt>
        <c:idx val="5"/>
        <c:spPr>
          <a:solidFill>
            <a:schemeClr val="accent1"/>
          </a:solidFill>
          <a:ln>
            <a:noFill/>
          </a:ln>
          <a:effectLst/>
        </c:spPr>
      </c:pivotFmt>
      <c:pivotFmt>
        <c:idx val="6"/>
        <c:spPr>
          <a:solidFill>
            <a:schemeClr val="accent1"/>
          </a:solidFill>
          <a:ln>
            <a:noFill/>
          </a:ln>
          <a:effectLst/>
        </c:spPr>
      </c:pivotFmt>
      <c:pivotFmt>
        <c:idx val="7"/>
        <c:spPr>
          <a:solidFill>
            <a:schemeClr val="accent1"/>
          </a:solidFill>
          <a:ln>
            <a:noFill/>
          </a:ln>
          <a:effectLst/>
        </c:spPr>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pivotFmt>
      <c:pivotFmt>
        <c:idx val="10"/>
        <c:spPr>
          <a:solidFill>
            <a:schemeClr val="accent1"/>
          </a:solidFill>
          <a:ln>
            <a:noFill/>
          </a:ln>
          <a:effectLst/>
        </c:spPr>
      </c:pivotFmt>
      <c:pivotFmt>
        <c:idx val="11"/>
        <c:spPr>
          <a:solidFill>
            <a:schemeClr val="accent1"/>
          </a:solidFill>
          <a:ln>
            <a:noFill/>
          </a:ln>
          <a:effectLst/>
        </c:spPr>
      </c:pivotFmt>
      <c:pivotFmt>
        <c:idx val="12"/>
        <c:spPr>
          <a:solidFill>
            <a:schemeClr val="accent1"/>
          </a:solidFill>
          <a:ln>
            <a:noFill/>
          </a:ln>
          <a:effectLst/>
        </c:spPr>
      </c:pivotFmt>
      <c:pivotFmt>
        <c:idx val="13"/>
        <c:spPr>
          <a:solidFill>
            <a:schemeClr val="accent1"/>
          </a:solidFill>
          <a:ln>
            <a:noFill/>
          </a:ln>
          <a:effectLst/>
        </c:spPr>
      </c:pivotFmt>
      <c:pivotFmt>
        <c:idx val="14"/>
        <c:spPr>
          <a:solidFill>
            <a:schemeClr val="accent1"/>
          </a:solidFill>
          <a:ln>
            <a:noFill/>
          </a:ln>
          <a:effectLst/>
        </c:spPr>
      </c:pivotFmt>
      <c:pivotFmt>
        <c:idx val="15"/>
        <c:spPr>
          <a:solidFill>
            <a:schemeClr val="accent1"/>
          </a:solidFill>
          <a:ln>
            <a:noFill/>
          </a:ln>
          <a:effectLst/>
        </c:spPr>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pivotFmt>
      <c:pivotFmt>
        <c:idx val="18"/>
        <c:spPr>
          <a:solidFill>
            <a:schemeClr val="accent1"/>
          </a:solidFill>
          <a:ln>
            <a:noFill/>
          </a:ln>
          <a:effectLst/>
        </c:spPr>
      </c:pivotFmt>
      <c:pivotFmt>
        <c:idx val="19"/>
        <c:spPr>
          <a:solidFill>
            <a:schemeClr val="accent1"/>
          </a:solidFill>
          <a:ln>
            <a:noFill/>
          </a:ln>
          <a:effectLst/>
        </c:spPr>
      </c:pivotFmt>
      <c:pivotFmt>
        <c:idx val="20"/>
        <c:spPr>
          <a:solidFill>
            <a:schemeClr val="accent1"/>
          </a:solidFill>
          <a:ln>
            <a:noFill/>
          </a:ln>
          <a:effectLst/>
        </c:spPr>
      </c:pivotFmt>
      <c:pivotFmt>
        <c:idx val="21"/>
        <c:spPr>
          <a:solidFill>
            <a:schemeClr val="accent1"/>
          </a:solidFill>
          <a:ln>
            <a:noFill/>
          </a:ln>
          <a:effectLst/>
        </c:spPr>
      </c:pivotFmt>
      <c:pivotFmt>
        <c:idx val="22"/>
        <c:spPr>
          <a:solidFill>
            <a:schemeClr val="accent1"/>
          </a:solidFill>
          <a:ln>
            <a:noFill/>
          </a:ln>
          <a:effectLst/>
        </c:spPr>
      </c:pivotFmt>
      <c:pivotFmt>
        <c:idx val="23"/>
        <c:spPr>
          <a:solidFill>
            <a:schemeClr val="accent1"/>
          </a:solidFill>
          <a:ln>
            <a:noFill/>
          </a:ln>
          <a:effectLst/>
        </c:spPr>
      </c:pivotFmt>
    </c:pivotFmts>
    <c:plotArea>
      <c:layout/>
      <c:barChart>
        <c:barDir val="col"/>
        <c:grouping val="clustered"/>
        <c:varyColors val="1"/>
        <c:ser>
          <c:idx val="0"/>
          <c:order val="0"/>
          <c:tx>
            <c:strRef>
              <c:f>Sheet1!$AL$2</c:f>
              <c:strCache>
                <c:ptCount val="1"/>
                <c:pt idx="0">
                  <c:v>Total</c:v>
                </c:pt>
              </c:strCache>
            </c:strRef>
          </c:tx>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DD30-4B85-94CD-74A2D843D157}"/>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3-DD30-4B85-94CD-74A2D843D157}"/>
              </c:ext>
            </c:extLst>
          </c:dPt>
          <c:dPt>
            <c:idx val="2"/>
            <c:invertIfNegative val="0"/>
            <c:bubble3D val="0"/>
            <c:spPr>
              <a:solidFill>
                <a:schemeClr val="accent3"/>
              </a:solidFill>
              <a:ln>
                <a:noFill/>
              </a:ln>
              <a:effectLst/>
            </c:spPr>
            <c:extLst>
              <c:ext xmlns:c16="http://schemas.microsoft.com/office/drawing/2014/chart" uri="{C3380CC4-5D6E-409C-BE32-E72D297353CC}">
                <c16:uniqueId val="{00000005-DD30-4B85-94CD-74A2D843D157}"/>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7-DD30-4B85-94CD-74A2D843D157}"/>
              </c:ext>
            </c:extLst>
          </c:dPt>
          <c:dPt>
            <c:idx val="4"/>
            <c:invertIfNegative val="0"/>
            <c:bubble3D val="0"/>
            <c:spPr>
              <a:solidFill>
                <a:schemeClr val="accent5"/>
              </a:solidFill>
              <a:ln>
                <a:noFill/>
              </a:ln>
              <a:effectLst/>
            </c:spPr>
            <c:extLst>
              <c:ext xmlns:c16="http://schemas.microsoft.com/office/drawing/2014/chart" uri="{C3380CC4-5D6E-409C-BE32-E72D297353CC}">
                <c16:uniqueId val="{00000009-DD30-4B85-94CD-74A2D843D157}"/>
              </c:ext>
            </c:extLst>
          </c:dPt>
          <c:dPt>
            <c:idx val="5"/>
            <c:invertIfNegative val="0"/>
            <c:bubble3D val="0"/>
            <c:spPr>
              <a:solidFill>
                <a:schemeClr val="accent6"/>
              </a:solidFill>
              <a:ln>
                <a:noFill/>
              </a:ln>
              <a:effectLst/>
            </c:spPr>
            <c:extLst>
              <c:ext xmlns:c16="http://schemas.microsoft.com/office/drawing/2014/chart" uri="{C3380CC4-5D6E-409C-BE32-E72D297353CC}">
                <c16:uniqueId val="{0000000B-DD30-4B85-94CD-74A2D843D157}"/>
              </c:ext>
            </c:extLst>
          </c:dPt>
          <c:dPt>
            <c:idx val="6"/>
            <c:invertIfNegative val="0"/>
            <c:bubble3D val="0"/>
            <c:spPr>
              <a:solidFill>
                <a:schemeClr val="accent1">
                  <a:lumMod val="60000"/>
                </a:schemeClr>
              </a:solidFill>
              <a:ln>
                <a:noFill/>
              </a:ln>
              <a:effectLst/>
            </c:spPr>
            <c:extLst>
              <c:ext xmlns:c16="http://schemas.microsoft.com/office/drawing/2014/chart" uri="{C3380CC4-5D6E-409C-BE32-E72D297353CC}">
                <c16:uniqueId val="{0000000D-DD30-4B85-94CD-74A2D843D15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Sheet1!$AK$3:$AK$9</c:f>
              <c:strCache>
                <c:ptCount val="7"/>
                <c:pt idx="0">
                  <c:v>1</c:v>
                </c:pt>
                <c:pt idx="1">
                  <c:v>2</c:v>
                </c:pt>
                <c:pt idx="2">
                  <c:v>3</c:v>
                </c:pt>
                <c:pt idx="3">
                  <c:v>4</c:v>
                </c:pt>
                <c:pt idx="4">
                  <c:v>5</c:v>
                </c:pt>
                <c:pt idx="5">
                  <c:v>6</c:v>
                </c:pt>
                <c:pt idx="6">
                  <c:v>7</c:v>
                </c:pt>
              </c:strCache>
            </c:strRef>
          </c:cat>
          <c:val>
            <c:numRef>
              <c:f>Sheet1!$AL$3:$AL$9</c:f>
              <c:numCache>
                <c:formatCode>General</c:formatCode>
                <c:ptCount val="7"/>
                <c:pt idx="0">
                  <c:v>5789166</c:v>
                </c:pt>
                <c:pt idx="1">
                  <c:v>6446196</c:v>
                </c:pt>
                <c:pt idx="2">
                  <c:v>6322855</c:v>
                </c:pt>
                <c:pt idx="3">
                  <c:v>6288429</c:v>
                </c:pt>
                <c:pt idx="4">
                  <c:v>6233657</c:v>
                </c:pt>
                <c:pt idx="5">
                  <c:v>4562111</c:v>
                </c:pt>
                <c:pt idx="6">
                  <c:v>4079723</c:v>
                </c:pt>
              </c:numCache>
            </c:numRef>
          </c:val>
          <c:extLst>
            <c:ext xmlns:c16="http://schemas.microsoft.com/office/drawing/2014/chart" uri="{C3380CC4-5D6E-409C-BE32-E72D297353CC}">
              <c16:uniqueId val="{0000000E-DD30-4B85-94CD-74A2D843D157}"/>
            </c:ext>
          </c:extLst>
        </c:ser>
        <c:dLbls>
          <c:dLblPos val="outEnd"/>
          <c:showLegendKey val="0"/>
          <c:showVal val="1"/>
          <c:showCatName val="0"/>
          <c:showSerName val="0"/>
          <c:showPercent val="0"/>
          <c:showBubbleSize val="0"/>
        </c:dLbls>
        <c:gapWidth val="219"/>
        <c:overlap val="-27"/>
        <c:axId val="556790288"/>
        <c:axId val="556789584"/>
      </c:barChart>
      <c:catAx>
        <c:axId val="556790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6789584"/>
        <c:crosses val="autoZero"/>
        <c:auto val="1"/>
        <c:lblAlgn val="ctr"/>
        <c:lblOffset val="100"/>
        <c:noMultiLvlLbl val="0"/>
      </c:catAx>
      <c:valAx>
        <c:axId val="556789584"/>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55679028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5</Pages>
  <Words>694</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MUBARAQ ABDULWAHAB</dc:creator>
  <cp:keywords/>
  <dc:description/>
  <cp:lastModifiedBy>MUBARAQ ABDULWAHAB</cp:lastModifiedBy>
  <cp:revision>1</cp:revision>
  <cp:lastPrinted>2026-09-30T22:32:00Z</cp:lastPrinted>
  <dcterms:created xsi:type="dcterms:W3CDTF">2026-09-30T19:14:00Z</dcterms:created>
  <dcterms:modified xsi:type="dcterms:W3CDTF">2026-09-30T22:33:00Z</dcterms:modified>
</cp:coreProperties>
</file>