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F" w14:textId="77777777" w:rsidR="009C4CE2" w:rsidRPr="009C4CE2" w:rsidRDefault="009C4CE2" w:rsidP="009C4CE2">
      <w:pPr>
        <w:pStyle w:val="Author"/>
        <w:rPr>
          <w:rFonts w:eastAsia="MS Mincho"/>
          <w:kern w:val="48"/>
          <w:sz w:val="48"/>
          <w:szCs w:val="48"/>
          <w:lang w:val="en-CA"/>
        </w:rPr>
      </w:pPr>
      <w:r w:rsidRPr="009C4CE2">
        <w:rPr>
          <w:rFonts w:eastAsia="MS Mincho"/>
          <w:kern w:val="48"/>
          <w:sz w:val="48"/>
          <w:szCs w:val="48"/>
          <w:lang w:val="en-CA"/>
        </w:rPr>
        <w:t>Forecasting Weekly Soft Drink Demand Using Time Series Models</w:t>
      </w:r>
    </w:p>
    <w:p w14:paraId="20C779BD" w14:textId="77777777" w:rsidR="00D7522C" w:rsidRDefault="00D7522C" w:rsidP="003B4E04">
      <w:pPr>
        <w:pStyle w:val="Author"/>
        <w:spacing w:before="100" w:beforeAutospacing="1" w:after="100" w:afterAutospacing="1" w:line="120" w:lineRule="auto"/>
        <w:rPr>
          <w:sz w:val="16"/>
          <w:szCs w:val="16"/>
        </w:rPr>
      </w:pPr>
    </w:p>
    <w:p w14:paraId="052ED331" w14:textId="77777777" w:rsidR="009C4CE2" w:rsidRDefault="009C4CE2"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74BCBDC" w14:textId="0E0C2EB6" w:rsidR="009C4CE2" w:rsidRPr="009C4CE2" w:rsidRDefault="00BD670B" w:rsidP="009C4CE2">
      <w:pPr>
        <w:pStyle w:val="Author"/>
        <w:spacing w:before="0"/>
        <w:rPr>
          <w:i/>
          <w:iCs/>
          <w:sz w:val="18"/>
          <w:szCs w:val="18"/>
        </w:rPr>
      </w:pPr>
      <w:r>
        <w:rPr>
          <w:sz w:val="18"/>
          <w:szCs w:val="18"/>
        </w:rPr>
        <w:br w:type="column"/>
      </w:r>
      <w:r w:rsidR="009C4CE2" w:rsidRPr="009C4CE2">
        <w:rPr>
          <w:i/>
          <w:iCs/>
          <w:sz w:val="18"/>
          <w:szCs w:val="18"/>
        </w:rPr>
        <w:t>Haleh Arjmand</w:t>
      </w:r>
    </w:p>
    <w:p w14:paraId="21D86FA5" w14:textId="77777777" w:rsidR="009C4CE2" w:rsidRPr="009C4CE2" w:rsidRDefault="009C4CE2" w:rsidP="009C4CE2">
      <w:pPr>
        <w:pStyle w:val="Author"/>
        <w:spacing w:before="0"/>
        <w:rPr>
          <w:i/>
          <w:iCs/>
          <w:sz w:val="18"/>
          <w:szCs w:val="18"/>
        </w:rPr>
      </w:pPr>
      <w:r w:rsidRPr="009C4CE2">
        <w:rPr>
          <w:i/>
          <w:iCs/>
          <w:sz w:val="18"/>
          <w:szCs w:val="18"/>
        </w:rPr>
        <w:t>line 2: dept of Business</w:t>
      </w:r>
    </w:p>
    <w:p w14:paraId="073FD3AD" w14:textId="77777777" w:rsidR="009C4CE2" w:rsidRPr="009C4CE2" w:rsidRDefault="009C4CE2" w:rsidP="009C4CE2">
      <w:pPr>
        <w:pStyle w:val="Author"/>
        <w:spacing w:before="0"/>
        <w:rPr>
          <w:i/>
          <w:iCs/>
          <w:sz w:val="18"/>
          <w:szCs w:val="18"/>
        </w:rPr>
      </w:pPr>
      <w:r w:rsidRPr="009C4CE2">
        <w:rPr>
          <w:i/>
          <w:iCs/>
          <w:sz w:val="18"/>
          <w:szCs w:val="18"/>
        </w:rPr>
        <w:t>Humber College</w:t>
      </w:r>
    </w:p>
    <w:p w14:paraId="36A8594F" w14:textId="77777777" w:rsidR="009C4CE2" w:rsidRPr="009C4CE2" w:rsidRDefault="009C4CE2" w:rsidP="009C4CE2">
      <w:pPr>
        <w:pStyle w:val="Author"/>
        <w:spacing w:before="0"/>
        <w:rPr>
          <w:i/>
          <w:iCs/>
          <w:sz w:val="18"/>
          <w:szCs w:val="18"/>
        </w:rPr>
      </w:pPr>
      <w:r w:rsidRPr="009C4CE2">
        <w:rPr>
          <w:i/>
          <w:iCs/>
          <w:sz w:val="18"/>
          <w:szCs w:val="18"/>
        </w:rPr>
        <w:t>Toronto, Canada</w:t>
      </w:r>
    </w:p>
    <w:p w14:paraId="7376EDC8" w14:textId="77777777" w:rsidR="009C4CE2" w:rsidRDefault="009C4CE2" w:rsidP="009C4CE2">
      <w:pPr>
        <w:pStyle w:val="Author"/>
        <w:spacing w:before="0"/>
        <w:rPr>
          <w:i/>
          <w:iCs/>
          <w:sz w:val="18"/>
          <w:szCs w:val="18"/>
        </w:rPr>
      </w:pPr>
      <w:hyperlink r:id="rId9" w:history="1">
        <w:r w:rsidRPr="009C4CE2">
          <w:rPr>
            <w:rStyle w:val="Hyperlink"/>
            <w:i/>
            <w:iCs/>
            <w:sz w:val="18"/>
            <w:szCs w:val="18"/>
          </w:rPr>
          <w:t>N01597440@humber.ca</w:t>
        </w:r>
      </w:hyperlink>
    </w:p>
    <w:p w14:paraId="50468C44" w14:textId="77777777" w:rsidR="009C4CE2" w:rsidRDefault="009C4CE2" w:rsidP="009C4CE2">
      <w:pPr>
        <w:pStyle w:val="Author"/>
        <w:spacing w:before="0"/>
        <w:rPr>
          <w:i/>
          <w:iCs/>
          <w:sz w:val="18"/>
          <w:szCs w:val="18"/>
        </w:rPr>
      </w:pPr>
    </w:p>
    <w:p w14:paraId="7154364A" w14:textId="77777777" w:rsidR="009C4CE2" w:rsidRDefault="009C4CE2" w:rsidP="009C4CE2">
      <w:pPr>
        <w:pStyle w:val="Author"/>
        <w:spacing w:before="0"/>
        <w:rPr>
          <w:i/>
          <w:iCs/>
          <w:sz w:val="18"/>
          <w:szCs w:val="18"/>
        </w:rPr>
      </w:pPr>
    </w:p>
    <w:p w14:paraId="7836B327" w14:textId="77777777" w:rsidR="009C4CE2" w:rsidRPr="009C4CE2" w:rsidRDefault="009C4CE2" w:rsidP="009C4CE2">
      <w:pPr>
        <w:pStyle w:val="Author"/>
        <w:spacing w:before="0"/>
        <w:rPr>
          <w:i/>
          <w:iCs/>
          <w:sz w:val="18"/>
          <w:szCs w:val="18"/>
        </w:rPr>
      </w:pPr>
    </w:p>
    <w:p w14:paraId="2729A11B" w14:textId="2D5E19B0" w:rsidR="00447BB9" w:rsidRDefault="00BD670B" w:rsidP="009C4CE2">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6E0E1DFB" w:rsidR="004D72B5" w:rsidRPr="009C4CE2" w:rsidRDefault="009303D9" w:rsidP="002C7C57">
      <w:pPr>
        <w:pStyle w:val="Abstract"/>
        <w:jc w:val="left"/>
        <w:rPr>
          <w:lang w:val="en-CA"/>
        </w:rPr>
      </w:pPr>
      <w:r>
        <w:rPr>
          <w:i/>
          <w:iCs/>
        </w:rPr>
        <w:t>Abstract</w:t>
      </w:r>
      <w:r>
        <w:t>—</w:t>
      </w:r>
      <w:r w:rsidR="009C4CE2" w:rsidRPr="009C4CE2">
        <w:rPr>
          <w:rFonts w:eastAsia="Times New Roman"/>
          <w:b w:val="0"/>
          <w:bCs w:val="0"/>
          <w:sz w:val="24"/>
          <w:szCs w:val="24"/>
          <w:lang w:val="en-CA"/>
        </w:rPr>
        <w:t xml:space="preserve"> </w:t>
      </w:r>
      <w:r w:rsidR="009C4CE2" w:rsidRPr="009C4CE2">
        <w:rPr>
          <w:lang w:val="en-CA"/>
        </w:rPr>
        <w:t xml:space="preserve">This report is about forecasting weekly soft drink demand using three models: SARIMA, TES, and LSTM. The goal was to see which one gives the most accurate short-term forecast. After comparing the results using MAE, RMSE, and MAPE, TES performed the best. It matched the seasonal pattern in the data better than the others. The results can help businesses plan their production and inventory more </w:t>
      </w:r>
      <w:proofErr w:type="gramStart"/>
      <w:r w:rsidR="009C4CE2" w:rsidRPr="009C4CE2">
        <w:rPr>
          <w:lang w:val="en-CA"/>
        </w:rPr>
        <w:t>effectively.</w:t>
      </w:r>
      <w:r w:rsidRPr="007C0308">
        <w:rPr>
          <w:iCs/>
        </w:rPr>
        <w:t>(</w:t>
      </w:r>
      <w:proofErr w:type="gramEnd"/>
      <w:r w:rsidRPr="005B0344">
        <w:rPr>
          <w:b w:val="0"/>
          <w:i/>
          <w:iCs/>
        </w:rPr>
        <w:t>Abstract</w:t>
      </w:r>
      <w:r w:rsidRPr="007C0308">
        <w:rPr>
          <w:iCs/>
        </w:rPr>
        <w:t>)</w:t>
      </w:r>
    </w:p>
    <w:p w14:paraId="58B10678" w14:textId="022237B8" w:rsidR="009303D9" w:rsidRPr="004D72B5" w:rsidRDefault="004D72B5" w:rsidP="002C7C57">
      <w:pPr>
        <w:pStyle w:val="Keywords"/>
        <w:jc w:val="left"/>
      </w:pPr>
      <w:r w:rsidRPr="004D72B5">
        <w:t>Keywords—</w:t>
      </w:r>
      <w:r w:rsidR="009C4CE2">
        <w:t>Time series</w:t>
      </w:r>
      <w:r w:rsidR="00D7522C">
        <w:t>,</w:t>
      </w:r>
      <w:r w:rsidR="009303D9" w:rsidRPr="004D72B5">
        <w:t xml:space="preserve"> </w:t>
      </w:r>
      <w:r w:rsidR="009C4CE2">
        <w:t>forecasting</w:t>
      </w:r>
      <w:r w:rsidR="00D7522C">
        <w:t>,</w:t>
      </w:r>
      <w:r w:rsidR="009303D9" w:rsidRPr="004D72B5">
        <w:t xml:space="preserve"> </w:t>
      </w:r>
      <w:proofErr w:type="spellStart"/>
      <w:r w:rsidR="009C4CE2">
        <w:t>sarima</w:t>
      </w:r>
      <w:proofErr w:type="spellEnd"/>
      <w:r w:rsidR="00D7522C">
        <w:t>,</w:t>
      </w:r>
      <w:r w:rsidR="009303D9" w:rsidRPr="004D72B5">
        <w:t xml:space="preserve"> </w:t>
      </w:r>
      <w:r w:rsidR="009C4CE2">
        <w:t>soft drink demand, Exponential Smoothing, LSTM</w:t>
      </w:r>
      <w:r w:rsidR="009303D9" w:rsidRPr="004D72B5">
        <w:t xml:space="preserve"> </w:t>
      </w:r>
    </w:p>
    <w:p w14:paraId="1A521F3C" w14:textId="12169AEB" w:rsidR="009303D9" w:rsidRPr="00D632BE" w:rsidRDefault="009303D9" w:rsidP="006B6B66">
      <w:pPr>
        <w:pStyle w:val="Heading1"/>
      </w:pPr>
      <w:r w:rsidRPr="00D632BE">
        <w:t xml:space="preserve">Introduction </w:t>
      </w:r>
    </w:p>
    <w:p w14:paraId="7645F86F" w14:textId="781E5CBA" w:rsidR="009C4CE2" w:rsidRPr="009C4CE2" w:rsidRDefault="009C4CE2" w:rsidP="002C7C57">
      <w:pPr>
        <w:pStyle w:val="p1"/>
        <w:jc w:val="both"/>
        <w:rPr>
          <w:sz w:val="20"/>
          <w:szCs w:val="20"/>
        </w:rPr>
      </w:pPr>
      <w:r w:rsidRPr="009C4CE2">
        <w:rPr>
          <w:rStyle w:val="s1"/>
          <w:sz w:val="20"/>
          <w:szCs w:val="20"/>
        </w:rPr>
        <w:t xml:space="preserve">Forecasting demand helps businesses make better decisions around production, inventory, and overall planning. This report looks at how to predict weekly soft drink demand using time series models. Since the data shows seasonal patterns, it’s important to pick a model that can capture those trends well. I worked with three different models </w:t>
      </w:r>
      <w:r>
        <w:rPr>
          <w:rStyle w:val="s1"/>
          <w:sz w:val="20"/>
          <w:szCs w:val="20"/>
        </w:rPr>
        <w:t>(</w:t>
      </w:r>
      <w:r w:rsidRPr="009C4CE2">
        <w:rPr>
          <w:rStyle w:val="s1"/>
          <w:sz w:val="20"/>
          <w:szCs w:val="20"/>
        </w:rPr>
        <w:t xml:space="preserve">SARIMA, TES, and </w:t>
      </w:r>
      <w:r w:rsidRPr="009C4CE2">
        <w:rPr>
          <w:rStyle w:val="s1"/>
          <w:sz w:val="20"/>
          <w:szCs w:val="20"/>
        </w:rPr>
        <w:t>LSTM) to</w:t>
      </w:r>
      <w:r w:rsidRPr="009C4CE2">
        <w:rPr>
          <w:rStyle w:val="s1"/>
          <w:sz w:val="20"/>
          <w:szCs w:val="20"/>
        </w:rPr>
        <w:t xml:space="preserve"> see which one gives the most accurate short-term forecast. The goal was to find the best fit for the data and support smarter planning to avoid overstocking or running out of product.</w:t>
      </w:r>
    </w:p>
    <w:p w14:paraId="179EA777" w14:textId="35A38A68" w:rsidR="009303D9" w:rsidRPr="006B6B66" w:rsidRDefault="009C4CE2" w:rsidP="006B6B66">
      <w:pPr>
        <w:pStyle w:val="Heading1"/>
      </w:pPr>
      <w:r>
        <w:t>executive summary</w:t>
      </w:r>
    </w:p>
    <w:p w14:paraId="7D71C67A" w14:textId="362D63FA" w:rsidR="009C4CE2" w:rsidRPr="009C4CE2" w:rsidRDefault="009C4CE2" w:rsidP="002C7C57">
      <w:pPr>
        <w:pStyle w:val="p1"/>
        <w:jc w:val="both"/>
        <w:rPr>
          <w:sz w:val="20"/>
          <w:szCs w:val="20"/>
        </w:rPr>
      </w:pPr>
      <w:r w:rsidRPr="009C4CE2">
        <w:rPr>
          <w:rStyle w:val="s1"/>
          <w:sz w:val="20"/>
          <w:szCs w:val="20"/>
        </w:rPr>
        <w:t xml:space="preserve">This report </w:t>
      </w:r>
      <w:r w:rsidRPr="009C4CE2">
        <w:rPr>
          <w:rStyle w:val="s1"/>
          <w:sz w:val="20"/>
          <w:szCs w:val="20"/>
        </w:rPr>
        <w:t>investigates</w:t>
      </w:r>
      <w:r w:rsidRPr="009C4CE2">
        <w:rPr>
          <w:rStyle w:val="s1"/>
          <w:sz w:val="20"/>
          <w:szCs w:val="20"/>
        </w:rPr>
        <w:t xml:space="preserve"> different ways to forecast weekly soft drink demand to help with short-term planning. I tested three models </w:t>
      </w:r>
      <w:r>
        <w:rPr>
          <w:rStyle w:val="s1"/>
          <w:sz w:val="20"/>
          <w:szCs w:val="20"/>
        </w:rPr>
        <w:t>(</w:t>
      </w:r>
      <w:r w:rsidRPr="009C4CE2">
        <w:rPr>
          <w:rStyle w:val="s1"/>
          <w:sz w:val="20"/>
          <w:szCs w:val="20"/>
        </w:rPr>
        <w:t>SARIMA, TES, and LSTM</w:t>
      </w:r>
      <w:r>
        <w:rPr>
          <w:rStyle w:val="s1"/>
          <w:sz w:val="20"/>
          <w:szCs w:val="20"/>
        </w:rPr>
        <w:t xml:space="preserve">) </w:t>
      </w:r>
      <w:r w:rsidRPr="009C4CE2">
        <w:rPr>
          <w:rStyle w:val="s1"/>
          <w:sz w:val="20"/>
          <w:szCs w:val="20"/>
        </w:rPr>
        <w:t>and compared how they performed using common error metrics. TES ended up giving the most reliable results. It picked up on the seasonality in the data and gave accurate forecasts. These insights can be useful for making smarter decisions around inventory and production.</w:t>
      </w:r>
    </w:p>
    <w:p w14:paraId="17F150FC" w14:textId="3923AD4C" w:rsidR="009303D9" w:rsidRDefault="009C4CE2" w:rsidP="006B6B66">
      <w:pPr>
        <w:pStyle w:val="Heading1"/>
      </w:pPr>
      <w:r>
        <w:t>Visual Insights</w:t>
      </w:r>
    </w:p>
    <w:p w14:paraId="50D8A946" w14:textId="599CD209" w:rsidR="009C4CE2" w:rsidRDefault="009C4CE2" w:rsidP="002C7C57">
      <w:pPr>
        <w:pStyle w:val="p1"/>
        <w:jc w:val="both"/>
        <w:rPr>
          <w:rStyle w:val="s1"/>
          <w:sz w:val="20"/>
          <w:szCs w:val="20"/>
        </w:rPr>
      </w:pPr>
      <w:r w:rsidRPr="009C4CE2">
        <w:rPr>
          <w:rStyle w:val="s1"/>
          <w:sz w:val="20"/>
          <w:szCs w:val="20"/>
        </w:rPr>
        <w:t xml:space="preserve">I started by looking at the raw demand data, then broke it down into daily and weekly views to better understand the pattern. The daily plot showed a strong repeating cycle every 7 days, which pointed to clear seasonality. The weekly view also showed a similar trend but was a bit more smoothed out. </w:t>
      </w:r>
      <w:r w:rsidRPr="009C4CE2">
        <w:rPr>
          <w:rStyle w:val="s1"/>
          <w:sz w:val="20"/>
          <w:szCs w:val="20"/>
        </w:rPr>
        <w:t xml:space="preserve">When I decomposed the data, the trend line slightly decreased, and the seasonality stayed consistent. </w:t>
      </w:r>
    </w:p>
    <w:p w14:paraId="778A10BA" w14:textId="43934DD5" w:rsidR="009C4CE2" w:rsidRDefault="009C4CE2" w:rsidP="009C4CE2">
      <w:pPr>
        <w:pStyle w:val="p1"/>
        <w:jc w:val="center"/>
        <w:rPr>
          <w:sz w:val="20"/>
          <w:szCs w:val="20"/>
        </w:rPr>
      </w:pPr>
      <w:r>
        <w:rPr>
          <w:noProof/>
          <w:sz w:val="20"/>
          <w:szCs w:val="20"/>
        </w:rPr>
        <w:drawing>
          <wp:inline distT="0" distB="0" distL="0" distR="0" wp14:anchorId="051DB6CE" wp14:editId="73AF7D4A">
            <wp:extent cx="3089910" cy="1569720"/>
            <wp:effectExtent l="0" t="0" r="0" b="5080"/>
            <wp:docPr id="2120571692" name="Picture 1" descr="A graph showing the amount of water in the amount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71692" name="Picture 1" descr="A graph showing the amount of water in the amount of wa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569720"/>
                    </a:xfrm>
                    <a:prstGeom prst="rect">
                      <a:avLst/>
                    </a:prstGeom>
                  </pic:spPr>
                </pic:pic>
              </a:graphicData>
            </a:graphic>
          </wp:inline>
        </w:drawing>
      </w:r>
    </w:p>
    <w:p w14:paraId="3BC9C7A9" w14:textId="01CA1A10" w:rsidR="009C4CE2" w:rsidRDefault="009C4CE2" w:rsidP="009C4CE2">
      <w:pPr>
        <w:pStyle w:val="p1"/>
        <w:jc w:val="center"/>
        <w:rPr>
          <w:sz w:val="20"/>
          <w:szCs w:val="20"/>
        </w:rPr>
      </w:pPr>
      <w:r>
        <w:rPr>
          <w:noProof/>
          <w:sz w:val="20"/>
          <w:szCs w:val="20"/>
        </w:rPr>
        <w:drawing>
          <wp:inline distT="0" distB="0" distL="0" distR="0" wp14:anchorId="41568F1C" wp14:editId="3254A0F4">
            <wp:extent cx="3089910" cy="1506220"/>
            <wp:effectExtent l="0" t="0" r="0" b="5080"/>
            <wp:docPr id="1095027530" name="Picture 2" descr="A graph showing the amount of soft dr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27530" name="Picture 2" descr="A graph showing the amount of soft drink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06220"/>
                    </a:xfrm>
                    <a:prstGeom prst="rect">
                      <a:avLst/>
                    </a:prstGeom>
                  </pic:spPr>
                </pic:pic>
              </a:graphicData>
            </a:graphic>
          </wp:inline>
        </w:drawing>
      </w:r>
    </w:p>
    <w:p w14:paraId="621D0512" w14:textId="594BB2F9" w:rsidR="009C4CE2" w:rsidRDefault="009C4CE2" w:rsidP="009C4CE2">
      <w:pPr>
        <w:pStyle w:val="p1"/>
        <w:jc w:val="center"/>
        <w:rPr>
          <w:sz w:val="20"/>
          <w:szCs w:val="20"/>
        </w:rPr>
      </w:pPr>
      <w:r>
        <w:rPr>
          <w:noProof/>
          <w:sz w:val="20"/>
          <w:szCs w:val="20"/>
        </w:rPr>
        <w:drawing>
          <wp:inline distT="0" distB="0" distL="0" distR="0" wp14:anchorId="481DEF1F" wp14:editId="72188935">
            <wp:extent cx="3089910" cy="1537335"/>
            <wp:effectExtent l="0" t="0" r="0" b="0"/>
            <wp:docPr id="1822659706" name="Picture 4" descr="A graph showing the amount of soft dr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59706" name="Picture 4" descr="A graph showing the amount of soft drin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37335"/>
                    </a:xfrm>
                    <a:prstGeom prst="rect">
                      <a:avLst/>
                    </a:prstGeom>
                  </pic:spPr>
                </pic:pic>
              </a:graphicData>
            </a:graphic>
          </wp:inline>
        </w:drawing>
      </w:r>
    </w:p>
    <w:p w14:paraId="42D1DE1D" w14:textId="67CF11F7" w:rsidR="009C4CE2" w:rsidRDefault="009C4CE2" w:rsidP="009C4CE2">
      <w:pPr>
        <w:pStyle w:val="p1"/>
        <w:jc w:val="center"/>
        <w:rPr>
          <w:sz w:val="20"/>
          <w:szCs w:val="20"/>
        </w:rPr>
      </w:pPr>
      <w:r>
        <w:rPr>
          <w:noProof/>
          <w:sz w:val="20"/>
          <w:szCs w:val="20"/>
        </w:rPr>
        <w:lastRenderedPageBreak/>
        <w:drawing>
          <wp:inline distT="0" distB="0" distL="0" distR="0" wp14:anchorId="0DF12985" wp14:editId="60E952C0">
            <wp:extent cx="3089910" cy="2153920"/>
            <wp:effectExtent l="0" t="0" r="0" b="5080"/>
            <wp:docPr id="579036138" name="Picture 5" descr="A close-up of several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6138" name="Picture 5" descr="A close-up of several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53920"/>
                    </a:xfrm>
                    <a:prstGeom prst="rect">
                      <a:avLst/>
                    </a:prstGeom>
                  </pic:spPr>
                </pic:pic>
              </a:graphicData>
            </a:graphic>
          </wp:inline>
        </w:drawing>
      </w:r>
    </w:p>
    <w:p w14:paraId="2A74BEA4" w14:textId="4AB0A5A0" w:rsidR="009C4CE2" w:rsidRPr="009C4CE2" w:rsidRDefault="009C4CE2" w:rsidP="009C4CE2">
      <w:pPr>
        <w:pStyle w:val="p1"/>
        <w:jc w:val="center"/>
        <w:rPr>
          <w:sz w:val="20"/>
          <w:szCs w:val="20"/>
        </w:rPr>
      </w:pPr>
      <w:r>
        <w:rPr>
          <w:noProof/>
          <w:sz w:val="20"/>
          <w:szCs w:val="20"/>
        </w:rPr>
        <w:drawing>
          <wp:inline distT="0" distB="0" distL="0" distR="0" wp14:anchorId="75CEC363" wp14:editId="70289BAE">
            <wp:extent cx="3089910" cy="2168525"/>
            <wp:effectExtent l="0" t="0" r="0" b="3175"/>
            <wp:docPr id="690820688" name="Picture 6" descr="A graph of a graph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20688" name="Picture 6" descr="A graph of a graph of a graph&#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68525"/>
                    </a:xfrm>
                    <a:prstGeom prst="rect">
                      <a:avLst/>
                    </a:prstGeom>
                  </pic:spPr>
                </pic:pic>
              </a:graphicData>
            </a:graphic>
          </wp:inline>
        </w:drawing>
      </w:r>
    </w:p>
    <w:p w14:paraId="47726C41" w14:textId="77777777" w:rsidR="009C4CE2" w:rsidRDefault="009C4CE2" w:rsidP="002C7C57">
      <w:pPr>
        <w:pStyle w:val="p1"/>
        <w:jc w:val="both"/>
        <w:rPr>
          <w:rStyle w:val="s1"/>
          <w:sz w:val="20"/>
          <w:szCs w:val="20"/>
        </w:rPr>
      </w:pPr>
      <w:r w:rsidRPr="009C4CE2">
        <w:rPr>
          <w:rStyle w:val="s1"/>
          <w:sz w:val="20"/>
          <w:szCs w:val="20"/>
        </w:rPr>
        <w:t>TES followed the actual values closely and captured both the trend and seasonal pattern. SARIMA missed some of the variation, and LSTM predictions looked too flat visually, even though the error metrics seemed low. Based on the plots, TES clearly aligned best with the real demand.</w:t>
      </w:r>
    </w:p>
    <w:p w14:paraId="6B762BC5" w14:textId="76CB45D2" w:rsidR="009C4CE2" w:rsidRDefault="009C4CE2" w:rsidP="009C4CE2">
      <w:pPr>
        <w:pStyle w:val="p1"/>
        <w:jc w:val="center"/>
        <w:rPr>
          <w:rStyle w:val="s1"/>
          <w:sz w:val="20"/>
          <w:szCs w:val="20"/>
        </w:rPr>
      </w:pPr>
      <w:r>
        <w:rPr>
          <w:noProof/>
          <w:sz w:val="20"/>
          <w:szCs w:val="20"/>
        </w:rPr>
        <w:drawing>
          <wp:inline distT="0" distB="0" distL="0" distR="0" wp14:anchorId="6F427C14" wp14:editId="145DDE5F">
            <wp:extent cx="3089910" cy="1551940"/>
            <wp:effectExtent l="0" t="0" r="0" b="0"/>
            <wp:docPr id="1829039508" name="Picture 7" descr="A graph showing the difference between soft drinks and the price of a soft drin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39508" name="Picture 7" descr="A graph showing the difference between soft drinks and the price of a soft drink&#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51940"/>
                    </a:xfrm>
                    <a:prstGeom prst="rect">
                      <a:avLst/>
                    </a:prstGeom>
                  </pic:spPr>
                </pic:pic>
              </a:graphicData>
            </a:graphic>
          </wp:inline>
        </w:drawing>
      </w:r>
    </w:p>
    <w:p w14:paraId="47B30FE2" w14:textId="184259A2" w:rsidR="009C4CE2" w:rsidRDefault="009C4CE2" w:rsidP="009C4CE2">
      <w:pPr>
        <w:pStyle w:val="p1"/>
        <w:jc w:val="center"/>
        <w:rPr>
          <w:rStyle w:val="s1"/>
          <w:sz w:val="20"/>
          <w:szCs w:val="20"/>
        </w:rPr>
      </w:pPr>
      <w:r>
        <w:rPr>
          <w:noProof/>
          <w:sz w:val="20"/>
          <w:szCs w:val="20"/>
        </w:rPr>
        <w:drawing>
          <wp:inline distT="0" distB="0" distL="0" distR="0" wp14:anchorId="44754E34" wp14:editId="3467FCE6">
            <wp:extent cx="3089910" cy="1798320"/>
            <wp:effectExtent l="0" t="0" r="0" b="5080"/>
            <wp:docPr id="1049015278" name="Picture 8" descr="A graph showing the amount of sales in the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15278" name="Picture 8" descr="A graph showing the amount of sales in the marke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798320"/>
                    </a:xfrm>
                    <a:prstGeom prst="rect">
                      <a:avLst/>
                    </a:prstGeom>
                  </pic:spPr>
                </pic:pic>
              </a:graphicData>
            </a:graphic>
          </wp:inline>
        </w:drawing>
      </w:r>
    </w:p>
    <w:p w14:paraId="49831149" w14:textId="24EB5933" w:rsidR="009C4CE2" w:rsidRDefault="009C4CE2" w:rsidP="009C4CE2">
      <w:pPr>
        <w:pStyle w:val="p1"/>
        <w:jc w:val="center"/>
        <w:rPr>
          <w:rStyle w:val="s1"/>
          <w:sz w:val="20"/>
          <w:szCs w:val="20"/>
        </w:rPr>
      </w:pPr>
      <w:r>
        <w:rPr>
          <w:noProof/>
          <w:sz w:val="20"/>
          <w:szCs w:val="20"/>
        </w:rPr>
        <w:drawing>
          <wp:inline distT="0" distB="0" distL="0" distR="0" wp14:anchorId="73C9C2BB" wp14:editId="60A8523E">
            <wp:extent cx="3089910" cy="1816100"/>
            <wp:effectExtent l="0" t="0" r="0" b="0"/>
            <wp:docPr id="711048272" name="Picture 9" descr="A graph showing the fall of the lst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48272" name="Picture 9" descr="A graph showing the fall of the lst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816100"/>
                    </a:xfrm>
                    <a:prstGeom prst="rect">
                      <a:avLst/>
                    </a:prstGeom>
                  </pic:spPr>
                </pic:pic>
              </a:graphicData>
            </a:graphic>
          </wp:inline>
        </w:drawing>
      </w:r>
    </w:p>
    <w:p w14:paraId="70EEDFA9" w14:textId="37E8440F" w:rsidR="009C4CE2" w:rsidRPr="00D632BE" w:rsidRDefault="009C4CE2" w:rsidP="009C4CE2">
      <w:pPr>
        <w:pStyle w:val="Heading1"/>
        <w:numPr>
          <w:ilvl w:val="0"/>
          <w:numId w:val="25"/>
        </w:numPr>
      </w:pPr>
      <w:r w:rsidRPr="009C4CE2">
        <w:rPr>
          <w:sz w:val="18"/>
          <w:szCs w:val="18"/>
        </w:rPr>
        <w:t>METHODOLOGY</w:t>
      </w:r>
      <w:r w:rsidRPr="00D632BE">
        <w:t xml:space="preserve"> </w:t>
      </w:r>
    </w:p>
    <w:p w14:paraId="09DC6BE3" w14:textId="1FC143CB" w:rsidR="009C4CE2" w:rsidRDefault="009C4CE2" w:rsidP="002C7C57">
      <w:pPr>
        <w:pStyle w:val="bulletlist"/>
        <w:numPr>
          <w:ilvl w:val="0"/>
          <w:numId w:val="0"/>
        </w:numPr>
        <w:ind w:left="288"/>
      </w:pPr>
      <w:r>
        <w:rPr>
          <w:rStyle w:val="s1"/>
        </w:rPr>
        <w:t>To start, I checked the demand data for trends, seasonality, and stationarity. The ADF test showed that the series wasn’t stationary, so I applied differencing before fitting SARIMA. For TES, I used an additive model since the seasonality looked consistent over time. LSTM was trained using a sequence of past demand values and scaled before fitting. I used a train-test split to evaluate the models fairly and forecasted the next two weeks for each one. The performance of all models was compared using MAE, RMSE, and MAPE to see which one gave the most accurate results</w:t>
      </w:r>
      <w:r>
        <w:rPr>
          <w:rStyle w:val="s1"/>
          <w:lang w:val="en-CA"/>
        </w:rPr>
        <w:t>.</w:t>
      </w:r>
    </w:p>
    <w:p w14:paraId="71B54C83" w14:textId="7D98A2D1" w:rsidR="009C4CE2" w:rsidRPr="00D632BE" w:rsidRDefault="009C4CE2" w:rsidP="009C4CE2">
      <w:pPr>
        <w:pStyle w:val="Heading1"/>
        <w:numPr>
          <w:ilvl w:val="0"/>
          <w:numId w:val="25"/>
        </w:numPr>
      </w:pPr>
      <w:r>
        <w:t>Recommendations</w:t>
      </w:r>
    </w:p>
    <w:p w14:paraId="7E54C8D6" w14:textId="53453D6B" w:rsidR="009303D9" w:rsidRPr="005B520E" w:rsidRDefault="009303D9" w:rsidP="009C4CE2">
      <w:pPr>
        <w:pStyle w:val="Heading2"/>
        <w:numPr>
          <w:ilvl w:val="0"/>
          <w:numId w:val="0"/>
        </w:numPr>
      </w:pPr>
    </w:p>
    <w:tbl>
      <w:tblPr>
        <w:tblpPr w:leftFromText="180" w:rightFromText="180" w:vertAnchor="text" w:horzAnchor="margin" w:tblpXSpec="right" w:tblpY="3302"/>
        <w:tblW w:w="48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1417"/>
        <w:gridCol w:w="1560"/>
        <w:gridCol w:w="1035"/>
      </w:tblGrid>
      <w:tr w:rsidR="009C4CE2" w14:paraId="567D67A3" w14:textId="77777777" w:rsidTr="009C4CE2">
        <w:trPr>
          <w:cantSplit/>
          <w:trHeight w:val="240"/>
          <w:tblHeader/>
        </w:trPr>
        <w:tc>
          <w:tcPr>
            <w:tcW w:w="848" w:type="dxa"/>
            <w:vMerge w:val="restart"/>
            <w:vAlign w:val="center"/>
          </w:tcPr>
          <w:p w14:paraId="4FD6178A" w14:textId="77777777" w:rsidR="009C4CE2" w:rsidRDefault="009C4CE2" w:rsidP="009C4CE2">
            <w:pPr>
              <w:pStyle w:val="tablecolhead"/>
            </w:pPr>
            <w:r>
              <w:t xml:space="preserve">Model </w:t>
            </w:r>
          </w:p>
        </w:tc>
        <w:tc>
          <w:tcPr>
            <w:tcW w:w="4012" w:type="dxa"/>
            <w:gridSpan w:val="3"/>
            <w:vAlign w:val="center"/>
          </w:tcPr>
          <w:p w14:paraId="6351DC4D" w14:textId="77777777" w:rsidR="009C4CE2" w:rsidRDefault="009C4CE2" w:rsidP="009C4CE2">
            <w:pPr>
              <w:pStyle w:val="tablecolhead"/>
            </w:pPr>
            <w:r>
              <w:t>EVALUATION</w:t>
            </w:r>
          </w:p>
        </w:tc>
      </w:tr>
      <w:tr w:rsidR="009C4CE2" w14:paraId="7462B4D0" w14:textId="77777777" w:rsidTr="009C4CE2">
        <w:trPr>
          <w:cantSplit/>
          <w:trHeight w:val="240"/>
          <w:tblHeader/>
        </w:trPr>
        <w:tc>
          <w:tcPr>
            <w:tcW w:w="848" w:type="dxa"/>
            <w:vMerge/>
          </w:tcPr>
          <w:p w14:paraId="23FDC71C" w14:textId="77777777" w:rsidR="009C4CE2" w:rsidRDefault="009C4CE2" w:rsidP="009C4CE2">
            <w:pPr>
              <w:rPr>
                <w:sz w:val="16"/>
                <w:szCs w:val="16"/>
              </w:rPr>
            </w:pPr>
          </w:p>
        </w:tc>
        <w:tc>
          <w:tcPr>
            <w:tcW w:w="1417" w:type="dxa"/>
            <w:vAlign w:val="center"/>
          </w:tcPr>
          <w:p w14:paraId="59CC506A" w14:textId="77777777" w:rsidR="009C4CE2" w:rsidRDefault="009C4CE2" w:rsidP="009C4CE2">
            <w:pPr>
              <w:pStyle w:val="tablecolsubhead"/>
            </w:pPr>
            <w:r>
              <w:t>MAE</w:t>
            </w:r>
          </w:p>
        </w:tc>
        <w:tc>
          <w:tcPr>
            <w:tcW w:w="1560" w:type="dxa"/>
            <w:vAlign w:val="center"/>
          </w:tcPr>
          <w:p w14:paraId="0E35EB25" w14:textId="77777777" w:rsidR="009C4CE2" w:rsidRDefault="009C4CE2" w:rsidP="009C4CE2">
            <w:pPr>
              <w:pStyle w:val="tablecolsubhead"/>
            </w:pPr>
            <w:r>
              <w:t>RMSE</w:t>
            </w:r>
          </w:p>
        </w:tc>
        <w:tc>
          <w:tcPr>
            <w:tcW w:w="1035" w:type="dxa"/>
            <w:vAlign w:val="center"/>
          </w:tcPr>
          <w:p w14:paraId="458AAEDA" w14:textId="77777777" w:rsidR="009C4CE2" w:rsidRDefault="009C4CE2" w:rsidP="009C4CE2">
            <w:pPr>
              <w:pStyle w:val="tablecolsubhead"/>
            </w:pPr>
            <w:r>
              <w:t>MAPE</w:t>
            </w:r>
          </w:p>
        </w:tc>
      </w:tr>
      <w:tr w:rsidR="009C4CE2" w14:paraId="1160574F" w14:textId="77777777" w:rsidTr="009C4CE2">
        <w:trPr>
          <w:trHeight w:val="320"/>
        </w:trPr>
        <w:tc>
          <w:tcPr>
            <w:tcW w:w="848" w:type="dxa"/>
            <w:vAlign w:val="center"/>
          </w:tcPr>
          <w:p w14:paraId="09BF84AE" w14:textId="77777777" w:rsidR="009C4CE2" w:rsidRDefault="009C4CE2" w:rsidP="009C4CE2">
            <w:pPr>
              <w:pStyle w:val="tablecopy"/>
              <w:rPr>
                <w:sz w:val="8"/>
                <w:szCs w:val="8"/>
              </w:rPr>
            </w:pPr>
            <w:r>
              <w:t>TES</w:t>
            </w:r>
          </w:p>
        </w:tc>
        <w:tc>
          <w:tcPr>
            <w:tcW w:w="1417" w:type="dxa"/>
            <w:vAlign w:val="center"/>
          </w:tcPr>
          <w:p w14:paraId="1351B718" w14:textId="77777777" w:rsidR="009C4CE2" w:rsidRDefault="009C4CE2" w:rsidP="009C4CE2">
            <w:pPr>
              <w:pStyle w:val="tablecopy"/>
            </w:pPr>
            <w:r>
              <w:t>74.728</w:t>
            </w:r>
          </w:p>
        </w:tc>
        <w:tc>
          <w:tcPr>
            <w:tcW w:w="1560" w:type="dxa"/>
            <w:vAlign w:val="center"/>
          </w:tcPr>
          <w:p w14:paraId="40E9C9D1" w14:textId="77777777" w:rsidR="009C4CE2" w:rsidRDefault="009C4CE2" w:rsidP="009C4CE2">
            <w:pPr>
              <w:rPr>
                <w:sz w:val="16"/>
                <w:szCs w:val="16"/>
              </w:rPr>
            </w:pPr>
            <w:r>
              <w:rPr>
                <w:sz w:val="16"/>
                <w:szCs w:val="16"/>
              </w:rPr>
              <w:t>90.426</w:t>
            </w:r>
          </w:p>
        </w:tc>
        <w:tc>
          <w:tcPr>
            <w:tcW w:w="1035" w:type="dxa"/>
            <w:vAlign w:val="center"/>
          </w:tcPr>
          <w:p w14:paraId="63F0364F" w14:textId="77777777" w:rsidR="009C4CE2" w:rsidRDefault="009C4CE2" w:rsidP="009C4CE2">
            <w:pPr>
              <w:rPr>
                <w:sz w:val="16"/>
                <w:szCs w:val="16"/>
              </w:rPr>
            </w:pPr>
            <w:r>
              <w:rPr>
                <w:sz w:val="16"/>
                <w:szCs w:val="16"/>
              </w:rPr>
              <w:t>13.101</w:t>
            </w:r>
          </w:p>
        </w:tc>
      </w:tr>
      <w:tr w:rsidR="009C4CE2" w14:paraId="2FBA96D1" w14:textId="77777777" w:rsidTr="009C4CE2">
        <w:trPr>
          <w:trHeight w:val="320"/>
        </w:trPr>
        <w:tc>
          <w:tcPr>
            <w:tcW w:w="848" w:type="dxa"/>
            <w:vAlign w:val="center"/>
          </w:tcPr>
          <w:p w14:paraId="380226AD" w14:textId="77777777" w:rsidR="009C4CE2" w:rsidRPr="009C4CE2" w:rsidRDefault="009C4CE2" w:rsidP="009C4CE2">
            <w:pPr>
              <w:rPr>
                <w:sz w:val="16"/>
                <w:szCs w:val="16"/>
              </w:rPr>
            </w:pPr>
            <w:r w:rsidRPr="009C4CE2">
              <w:rPr>
                <w:sz w:val="16"/>
                <w:szCs w:val="16"/>
              </w:rPr>
              <w:t>SARIMA</w:t>
            </w:r>
          </w:p>
        </w:tc>
        <w:tc>
          <w:tcPr>
            <w:tcW w:w="1417" w:type="dxa"/>
            <w:vAlign w:val="center"/>
          </w:tcPr>
          <w:p w14:paraId="45927E6F" w14:textId="77777777" w:rsidR="009C4CE2" w:rsidRDefault="009C4CE2" w:rsidP="009C4CE2">
            <w:pPr>
              <w:pStyle w:val="tablecopy"/>
            </w:pPr>
            <w:r>
              <w:t>176.003</w:t>
            </w:r>
          </w:p>
        </w:tc>
        <w:tc>
          <w:tcPr>
            <w:tcW w:w="1560" w:type="dxa"/>
            <w:vAlign w:val="center"/>
          </w:tcPr>
          <w:p w14:paraId="20093C05" w14:textId="77777777" w:rsidR="009C4CE2" w:rsidRDefault="009C4CE2" w:rsidP="009C4CE2">
            <w:pPr>
              <w:rPr>
                <w:sz w:val="16"/>
                <w:szCs w:val="16"/>
              </w:rPr>
            </w:pPr>
            <w:r>
              <w:rPr>
                <w:sz w:val="16"/>
                <w:szCs w:val="16"/>
              </w:rPr>
              <w:t>377.747</w:t>
            </w:r>
          </w:p>
        </w:tc>
        <w:tc>
          <w:tcPr>
            <w:tcW w:w="1035" w:type="dxa"/>
            <w:vAlign w:val="center"/>
          </w:tcPr>
          <w:p w14:paraId="1D506189" w14:textId="77777777" w:rsidR="009C4CE2" w:rsidRDefault="009C4CE2" w:rsidP="009C4CE2">
            <w:pPr>
              <w:rPr>
                <w:sz w:val="16"/>
                <w:szCs w:val="16"/>
              </w:rPr>
            </w:pPr>
            <w:r>
              <w:rPr>
                <w:sz w:val="16"/>
                <w:szCs w:val="16"/>
              </w:rPr>
              <w:t>15.923</w:t>
            </w:r>
          </w:p>
        </w:tc>
      </w:tr>
      <w:tr w:rsidR="009C4CE2" w14:paraId="1A182D29" w14:textId="77777777" w:rsidTr="009C4CE2">
        <w:trPr>
          <w:trHeight w:val="320"/>
        </w:trPr>
        <w:tc>
          <w:tcPr>
            <w:tcW w:w="848" w:type="dxa"/>
            <w:vAlign w:val="center"/>
          </w:tcPr>
          <w:p w14:paraId="2438A5CC" w14:textId="77777777" w:rsidR="009C4CE2" w:rsidRDefault="009C4CE2" w:rsidP="009C4CE2">
            <w:pPr>
              <w:pStyle w:val="tablecopy"/>
            </w:pPr>
            <w:r>
              <w:t>LSTM</w:t>
            </w:r>
          </w:p>
        </w:tc>
        <w:tc>
          <w:tcPr>
            <w:tcW w:w="1417" w:type="dxa"/>
            <w:vAlign w:val="center"/>
          </w:tcPr>
          <w:p w14:paraId="2C3D3CBB" w14:textId="77777777" w:rsidR="009C4CE2" w:rsidRDefault="009C4CE2" w:rsidP="009C4CE2">
            <w:pPr>
              <w:pStyle w:val="tablecopy"/>
            </w:pPr>
            <w:r>
              <w:t>0.334</w:t>
            </w:r>
          </w:p>
        </w:tc>
        <w:tc>
          <w:tcPr>
            <w:tcW w:w="1560" w:type="dxa"/>
            <w:vAlign w:val="center"/>
          </w:tcPr>
          <w:p w14:paraId="444F9F8F" w14:textId="77777777" w:rsidR="009C4CE2" w:rsidRDefault="009C4CE2" w:rsidP="009C4CE2">
            <w:pPr>
              <w:rPr>
                <w:sz w:val="16"/>
                <w:szCs w:val="16"/>
              </w:rPr>
            </w:pPr>
            <w:r>
              <w:rPr>
                <w:sz w:val="16"/>
                <w:szCs w:val="16"/>
              </w:rPr>
              <w:t>0.422</w:t>
            </w:r>
          </w:p>
        </w:tc>
        <w:tc>
          <w:tcPr>
            <w:tcW w:w="1035" w:type="dxa"/>
            <w:vAlign w:val="center"/>
          </w:tcPr>
          <w:p w14:paraId="3DA911AF" w14:textId="77777777" w:rsidR="009C4CE2" w:rsidRDefault="009C4CE2" w:rsidP="009C4CE2">
            <w:pPr>
              <w:rPr>
                <w:sz w:val="16"/>
                <w:szCs w:val="16"/>
              </w:rPr>
            </w:pPr>
            <w:r>
              <w:rPr>
                <w:sz w:val="16"/>
                <w:szCs w:val="16"/>
              </w:rPr>
              <w:t>Inf%</w:t>
            </w:r>
          </w:p>
        </w:tc>
      </w:tr>
    </w:tbl>
    <w:p w14:paraId="07DACEEC" w14:textId="5327A59E" w:rsidR="009C4CE2" w:rsidRPr="009C4CE2" w:rsidRDefault="009C4CE2" w:rsidP="002C7C57">
      <w:pPr>
        <w:pStyle w:val="p1"/>
        <w:jc w:val="both"/>
        <w:rPr>
          <w:sz w:val="20"/>
          <w:szCs w:val="20"/>
        </w:rPr>
      </w:pPr>
      <w:r w:rsidRPr="009C4CE2">
        <w:rPr>
          <w:rStyle w:val="s1"/>
          <w:sz w:val="20"/>
          <w:szCs w:val="20"/>
        </w:rPr>
        <w:t>Based on the analysis, I suggest relying on the TES model for short-term forecasting, as it provided the most accurate and consistent results. It handled the seasonal demand patterns well and closely followed the actual sales data. This can help with more confident production and inventory planning, reducing the risk of overstock or running out of product.</w:t>
      </w:r>
      <w:r>
        <w:rPr>
          <w:sz w:val="20"/>
          <w:szCs w:val="20"/>
        </w:rPr>
        <w:t xml:space="preserve"> </w:t>
      </w:r>
      <w:r w:rsidRPr="009C4CE2">
        <w:rPr>
          <w:rStyle w:val="s1"/>
          <w:sz w:val="20"/>
          <w:szCs w:val="20"/>
        </w:rPr>
        <w:t>Although the LSTM model had low error metrics, its predictions didn’t fully match the real demand pattern. SARIMA also showed weaker performance compared to TES. To maintain accuracy, I recommend updating the forecast regularly with new data and keeping an eye on</w:t>
      </w:r>
      <w:r>
        <w:rPr>
          <w:rStyle w:val="s1"/>
        </w:rPr>
        <w:t xml:space="preserve"> </w:t>
      </w:r>
      <w:r w:rsidRPr="009C4CE2">
        <w:rPr>
          <w:rStyle w:val="s1"/>
          <w:sz w:val="20"/>
          <w:szCs w:val="20"/>
        </w:rPr>
        <w:t>any changes in demand trends that could impact future planning.</w:t>
      </w:r>
    </w:p>
    <w:p w14:paraId="18444A9B" w14:textId="6CC0510B" w:rsidR="009C4CE2" w:rsidRDefault="009303D9" w:rsidP="009C4CE2">
      <w:pPr>
        <w:pStyle w:val="equation"/>
      </w:pPr>
      <w:r w:rsidRPr="005B520E">
        <w:tab/>
      </w:r>
    </w:p>
    <w:p w14:paraId="4AC68130" w14:textId="77777777" w:rsidR="006F6D3D" w:rsidRDefault="006F6D3D" w:rsidP="006F6D3D">
      <w:pPr>
        <w:jc w:val="left"/>
        <w:rPr>
          <w:i/>
          <w:iCs/>
          <w:noProof/>
        </w:rPr>
      </w:pPr>
    </w:p>
    <w:p w14:paraId="1B7223DD" w14:textId="7160C865" w:rsidR="009303D9" w:rsidRPr="005B520E" w:rsidRDefault="009303D9" w:rsidP="00E7596C">
      <w:pPr>
        <w:pStyle w:val="BodyText"/>
      </w:pPr>
    </w:p>
    <w:p w14:paraId="21523B97" w14:textId="77777777" w:rsidR="009303D9" w:rsidRDefault="009303D9" w:rsidP="00A059B3">
      <w:pPr>
        <w:pStyle w:val="Heading5"/>
      </w:pPr>
      <w:r w:rsidRPr="005B520E">
        <w:t>References</w:t>
      </w:r>
    </w:p>
    <w:p w14:paraId="144D91D7" w14:textId="77777777" w:rsidR="009303D9" w:rsidRPr="005B520E" w:rsidRDefault="009303D9"/>
    <w:p w14:paraId="2CBC4D6A" w14:textId="504F796D" w:rsidR="00836367" w:rsidRPr="009C4CE2" w:rsidRDefault="009C4CE2" w:rsidP="002C7C57">
      <w:pPr>
        <w:pStyle w:val="references"/>
        <w:jc w:val="left"/>
        <w:sectPr w:rsidR="00836367" w:rsidRPr="009C4CE2" w:rsidSect="003B4E04">
          <w:type w:val="continuous"/>
          <w:pgSz w:w="11906" w:h="16838" w:code="9"/>
          <w:pgMar w:top="1080" w:right="907" w:bottom="1440" w:left="907" w:header="720" w:footer="720" w:gutter="0"/>
          <w:cols w:num="2" w:space="360"/>
          <w:docGrid w:linePitch="360"/>
        </w:sectPr>
      </w:pPr>
      <w:r>
        <w:rPr>
          <w:rStyle w:val="s1"/>
        </w:rPr>
        <w:t>“IEEE - The world’s largest technical professional organization dedicated to advancing technology for the benefit of humanity.” [Online]. Available: https://www.ieee.org</w:t>
      </w:r>
    </w:p>
    <w:p w14:paraId="4EF2B8B8" w14:textId="1E018C3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10B1" w14:textId="77777777" w:rsidR="00370E8D" w:rsidRDefault="00370E8D" w:rsidP="001A3B3D">
      <w:r>
        <w:separator/>
      </w:r>
    </w:p>
  </w:endnote>
  <w:endnote w:type="continuationSeparator" w:id="0">
    <w:p w14:paraId="4C7AC1C3" w14:textId="77777777" w:rsidR="00370E8D" w:rsidRDefault="00370E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9E1C" w14:textId="77777777" w:rsidR="00370E8D" w:rsidRDefault="00370E8D" w:rsidP="001A3B3D">
      <w:r>
        <w:separator/>
      </w:r>
    </w:p>
  </w:footnote>
  <w:footnote w:type="continuationSeparator" w:id="0">
    <w:p w14:paraId="00971ECE" w14:textId="77777777" w:rsidR="00370E8D" w:rsidRDefault="00370E8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545950326">
    <w:abstractNumId w:val="1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45C"/>
    <w:rsid w:val="0008758A"/>
    <w:rsid w:val="000C1E68"/>
    <w:rsid w:val="001A2EFD"/>
    <w:rsid w:val="001A3B3D"/>
    <w:rsid w:val="001B67DC"/>
    <w:rsid w:val="002254A9"/>
    <w:rsid w:val="00233D97"/>
    <w:rsid w:val="002347A2"/>
    <w:rsid w:val="002850E3"/>
    <w:rsid w:val="002C7C57"/>
    <w:rsid w:val="00354FCF"/>
    <w:rsid w:val="0035732A"/>
    <w:rsid w:val="00370E8D"/>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C4CE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4CE2"/>
    <w:rPr>
      <w:color w:val="0563C1" w:themeColor="hyperlink"/>
      <w:u w:val="single"/>
    </w:rPr>
  </w:style>
  <w:style w:type="character" w:styleId="UnresolvedMention">
    <w:name w:val="Unresolved Mention"/>
    <w:basedOn w:val="DefaultParagraphFont"/>
    <w:uiPriority w:val="99"/>
    <w:semiHidden/>
    <w:unhideWhenUsed/>
    <w:rsid w:val="009C4CE2"/>
    <w:rPr>
      <w:color w:val="605E5C"/>
      <w:shd w:val="clear" w:color="auto" w:fill="E1DFDD"/>
    </w:rPr>
  </w:style>
  <w:style w:type="paragraph" w:customStyle="1" w:styleId="p1">
    <w:name w:val="p1"/>
    <w:basedOn w:val="Normal"/>
    <w:rsid w:val="009C4CE2"/>
    <w:pPr>
      <w:spacing w:before="100" w:beforeAutospacing="1" w:after="100" w:afterAutospacing="1"/>
      <w:jc w:val="left"/>
    </w:pPr>
    <w:rPr>
      <w:rFonts w:eastAsia="Times New Roman"/>
      <w:sz w:val="24"/>
      <w:szCs w:val="24"/>
      <w:lang w:val="en-CA"/>
    </w:rPr>
  </w:style>
  <w:style w:type="character" w:customStyle="1" w:styleId="s1">
    <w:name w:val="s1"/>
    <w:basedOn w:val="DefaultParagraphFont"/>
    <w:rsid w:val="009C4CE2"/>
  </w:style>
  <w:style w:type="paragraph" w:customStyle="1" w:styleId="p2">
    <w:name w:val="p2"/>
    <w:basedOn w:val="Normal"/>
    <w:rsid w:val="009C4CE2"/>
    <w:pPr>
      <w:spacing w:before="100" w:beforeAutospacing="1" w:after="100" w:afterAutospacing="1"/>
      <w:jc w:val="left"/>
    </w:pPr>
    <w:rPr>
      <w:rFonts w:eastAsia="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402">
      <w:bodyDiv w:val="1"/>
      <w:marLeft w:val="0"/>
      <w:marRight w:val="0"/>
      <w:marTop w:val="0"/>
      <w:marBottom w:val="0"/>
      <w:divBdr>
        <w:top w:val="none" w:sz="0" w:space="0" w:color="auto"/>
        <w:left w:val="none" w:sz="0" w:space="0" w:color="auto"/>
        <w:bottom w:val="none" w:sz="0" w:space="0" w:color="auto"/>
        <w:right w:val="none" w:sz="0" w:space="0" w:color="auto"/>
      </w:divBdr>
    </w:div>
    <w:div w:id="395862337">
      <w:bodyDiv w:val="1"/>
      <w:marLeft w:val="0"/>
      <w:marRight w:val="0"/>
      <w:marTop w:val="0"/>
      <w:marBottom w:val="0"/>
      <w:divBdr>
        <w:top w:val="none" w:sz="0" w:space="0" w:color="auto"/>
        <w:left w:val="none" w:sz="0" w:space="0" w:color="auto"/>
        <w:bottom w:val="none" w:sz="0" w:space="0" w:color="auto"/>
        <w:right w:val="none" w:sz="0" w:space="0" w:color="auto"/>
      </w:divBdr>
    </w:div>
    <w:div w:id="444925974">
      <w:bodyDiv w:val="1"/>
      <w:marLeft w:val="0"/>
      <w:marRight w:val="0"/>
      <w:marTop w:val="0"/>
      <w:marBottom w:val="0"/>
      <w:divBdr>
        <w:top w:val="none" w:sz="0" w:space="0" w:color="auto"/>
        <w:left w:val="none" w:sz="0" w:space="0" w:color="auto"/>
        <w:bottom w:val="none" w:sz="0" w:space="0" w:color="auto"/>
        <w:right w:val="none" w:sz="0" w:space="0" w:color="auto"/>
      </w:divBdr>
    </w:div>
    <w:div w:id="445776195">
      <w:bodyDiv w:val="1"/>
      <w:marLeft w:val="0"/>
      <w:marRight w:val="0"/>
      <w:marTop w:val="0"/>
      <w:marBottom w:val="0"/>
      <w:divBdr>
        <w:top w:val="none" w:sz="0" w:space="0" w:color="auto"/>
        <w:left w:val="none" w:sz="0" w:space="0" w:color="auto"/>
        <w:bottom w:val="none" w:sz="0" w:space="0" w:color="auto"/>
        <w:right w:val="none" w:sz="0" w:space="0" w:color="auto"/>
      </w:divBdr>
    </w:div>
    <w:div w:id="458035428">
      <w:bodyDiv w:val="1"/>
      <w:marLeft w:val="0"/>
      <w:marRight w:val="0"/>
      <w:marTop w:val="0"/>
      <w:marBottom w:val="0"/>
      <w:divBdr>
        <w:top w:val="none" w:sz="0" w:space="0" w:color="auto"/>
        <w:left w:val="none" w:sz="0" w:space="0" w:color="auto"/>
        <w:bottom w:val="none" w:sz="0" w:space="0" w:color="auto"/>
        <w:right w:val="none" w:sz="0" w:space="0" w:color="auto"/>
      </w:divBdr>
    </w:div>
    <w:div w:id="477839821">
      <w:bodyDiv w:val="1"/>
      <w:marLeft w:val="0"/>
      <w:marRight w:val="0"/>
      <w:marTop w:val="0"/>
      <w:marBottom w:val="0"/>
      <w:divBdr>
        <w:top w:val="none" w:sz="0" w:space="0" w:color="auto"/>
        <w:left w:val="none" w:sz="0" w:space="0" w:color="auto"/>
        <w:bottom w:val="none" w:sz="0" w:space="0" w:color="auto"/>
        <w:right w:val="none" w:sz="0" w:space="0" w:color="auto"/>
      </w:divBdr>
    </w:div>
    <w:div w:id="538199214">
      <w:bodyDiv w:val="1"/>
      <w:marLeft w:val="0"/>
      <w:marRight w:val="0"/>
      <w:marTop w:val="0"/>
      <w:marBottom w:val="0"/>
      <w:divBdr>
        <w:top w:val="none" w:sz="0" w:space="0" w:color="auto"/>
        <w:left w:val="none" w:sz="0" w:space="0" w:color="auto"/>
        <w:bottom w:val="none" w:sz="0" w:space="0" w:color="auto"/>
        <w:right w:val="none" w:sz="0" w:space="0" w:color="auto"/>
      </w:divBdr>
    </w:div>
    <w:div w:id="771707834">
      <w:bodyDiv w:val="1"/>
      <w:marLeft w:val="0"/>
      <w:marRight w:val="0"/>
      <w:marTop w:val="0"/>
      <w:marBottom w:val="0"/>
      <w:divBdr>
        <w:top w:val="none" w:sz="0" w:space="0" w:color="auto"/>
        <w:left w:val="none" w:sz="0" w:space="0" w:color="auto"/>
        <w:bottom w:val="none" w:sz="0" w:space="0" w:color="auto"/>
        <w:right w:val="none" w:sz="0" w:space="0" w:color="auto"/>
      </w:divBdr>
    </w:div>
    <w:div w:id="843662555">
      <w:bodyDiv w:val="1"/>
      <w:marLeft w:val="0"/>
      <w:marRight w:val="0"/>
      <w:marTop w:val="0"/>
      <w:marBottom w:val="0"/>
      <w:divBdr>
        <w:top w:val="none" w:sz="0" w:space="0" w:color="auto"/>
        <w:left w:val="none" w:sz="0" w:space="0" w:color="auto"/>
        <w:bottom w:val="none" w:sz="0" w:space="0" w:color="auto"/>
        <w:right w:val="none" w:sz="0" w:space="0" w:color="auto"/>
      </w:divBdr>
    </w:div>
    <w:div w:id="848372024">
      <w:bodyDiv w:val="1"/>
      <w:marLeft w:val="0"/>
      <w:marRight w:val="0"/>
      <w:marTop w:val="0"/>
      <w:marBottom w:val="0"/>
      <w:divBdr>
        <w:top w:val="none" w:sz="0" w:space="0" w:color="auto"/>
        <w:left w:val="none" w:sz="0" w:space="0" w:color="auto"/>
        <w:bottom w:val="none" w:sz="0" w:space="0" w:color="auto"/>
        <w:right w:val="none" w:sz="0" w:space="0" w:color="auto"/>
      </w:divBdr>
    </w:div>
    <w:div w:id="1038238420">
      <w:bodyDiv w:val="1"/>
      <w:marLeft w:val="0"/>
      <w:marRight w:val="0"/>
      <w:marTop w:val="0"/>
      <w:marBottom w:val="0"/>
      <w:divBdr>
        <w:top w:val="none" w:sz="0" w:space="0" w:color="auto"/>
        <w:left w:val="none" w:sz="0" w:space="0" w:color="auto"/>
        <w:bottom w:val="none" w:sz="0" w:space="0" w:color="auto"/>
        <w:right w:val="none" w:sz="0" w:space="0" w:color="auto"/>
      </w:divBdr>
    </w:div>
    <w:div w:id="1209225886">
      <w:bodyDiv w:val="1"/>
      <w:marLeft w:val="0"/>
      <w:marRight w:val="0"/>
      <w:marTop w:val="0"/>
      <w:marBottom w:val="0"/>
      <w:divBdr>
        <w:top w:val="none" w:sz="0" w:space="0" w:color="auto"/>
        <w:left w:val="none" w:sz="0" w:space="0" w:color="auto"/>
        <w:bottom w:val="none" w:sz="0" w:space="0" w:color="auto"/>
        <w:right w:val="none" w:sz="0" w:space="0" w:color="auto"/>
      </w:divBdr>
    </w:div>
    <w:div w:id="1248491884">
      <w:bodyDiv w:val="1"/>
      <w:marLeft w:val="0"/>
      <w:marRight w:val="0"/>
      <w:marTop w:val="0"/>
      <w:marBottom w:val="0"/>
      <w:divBdr>
        <w:top w:val="none" w:sz="0" w:space="0" w:color="auto"/>
        <w:left w:val="none" w:sz="0" w:space="0" w:color="auto"/>
        <w:bottom w:val="none" w:sz="0" w:space="0" w:color="auto"/>
        <w:right w:val="none" w:sz="0" w:space="0" w:color="auto"/>
      </w:divBdr>
    </w:div>
    <w:div w:id="1373529903">
      <w:bodyDiv w:val="1"/>
      <w:marLeft w:val="0"/>
      <w:marRight w:val="0"/>
      <w:marTop w:val="0"/>
      <w:marBottom w:val="0"/>
      <w:divBdr>
        <w:top w:val="none" w:sz="0" w:space="0" w:color="auto"/>
        <w:left w:val="none" w:sz="0" w:space="0" w:color="auto"/>
        <w:bottom w:val="none" w:sz="0" w:space="0" w:color="auto"/>
        <w:right w:val="none" w:sz="0" w:space="0" w:color="auto"/>
      </w:divBdr>
    </w:div>
    <w:div w:id="1473519657">
      <w:bodyDiv w:val="1"/>
      <w:marLeft w:val="0"/>
      <w:marRight w:val="0"/>
      <w:marTop w:val="0"/>
      <w:marBottom w:val="0"/>
      <w:divBdr>
        <w:top w:val="none" w:sz="0" w:space="0" w:color="auto"/>
        <w:left w:val="none" w:sz="0" w:space="0" w:color="auto"/>
        <w:bottom w:val="none" w:sz="0" w:space="0" w:color="auto"/>
        <w:right w:val="none" w:sz="0" w:space="0" w:color="auto"/>
      </w:divBdr>
    </w:div>
    <w:div w:id="1591546365">
      <w:bodyDiv w:val="1"/>
      <w:marLeft w:val="0"/>
      <w:marRight w:val="0"/>
      <w:marTop w:val="0"/>
      <w:marBottom w:val="0"/>
      <w:divBdr>
        <w:top w:val="none" w:sz="0" w:space="0" w:color="auto"/>
        <w:left w:val="none" w:sz="0" w:space="0" w:color="auto"/>
        <w:bottom w:val="none" w:sz="0" w:space="0" w:color="auto"/>
        <w:right w:val="none" w:sz="0" w:space="0" w:color="auto"/>
      </w:divBdr>
    </w:div>
    <w:div w:id="1634017801">
      <w:bodyDiv w:val="1"/>
      <w:marLeft w:val="0"/>
      <w:marRight w:val="0"/>
      <w:marTop w:val="0"/>
      <w:marBottom w:val="0"/>
      <w:divBdr>
        <w:top w:val="none" w:sz="0" w:space="0" w:color="auto"/>
        <w:left w:val="none" w:sz="0" w:space="0" w:color="auto"/>
        <w:bottom w:val="none" w:sz="0" w:space="0" w:color="auto"/>
        <w:right w:val="none" w:sz="0" w:space="0" w:color="auto"/>
      </w:divBdr>
    </w:div>
    <w:div w:id="1913658960">
      <w:bodyDiv w:val="1"/>
      <w:marLeft w:val="0"/>
      <w:marRight w:val="0"/>
      <w:marTop w:val="0"/>
      <w:marBottom w:val="0"/>
      <w:divBdr>
        <w:top w:val="none" w:sz="0" w:space="0" w:color="auto"/>
        <w:left w:val="none" w:sz="0" w:space="0" w:color="auto"/>
        <w:bottom w:val="none" w:sz="0" w:space="0" w:color="auto"/>
        <w:right w:val="none" w:sz="0" w:space="0" w:color="auto"/>
      </w:divBdr>
    </w:div>
    <w:div w:id="1990481281">
      <w:bodyDiv w:val="1"/>
      <w:marLeft w:val="0"/>
      <w:marRight w:val="0"/>
      <w:marTop w:val="0"/>
      <w:marBottom w:val="0"/>
      <w:divBdr>
        <w:top w:val="none" w:sz="0" w:space="0" w:color="auto"/>
        <w:left w:val="none" w:sz="0" w:space="0" w:color="auto"/>
        <w:bottom w:val="none" w:sz="0" w:space="0" w:color="auto"/>
        <w:right w:val="none" w:sz="0" w:space="0" w:color="auto"/>
      </w:divBdr>
    </w:div>
    <w:div w:id="200358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01597440@humber.c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Haleh Arjmand</cp:lastModifiedBy>
  <cp:revision>3</cp:revision>
  <dcterms:created xsi:type="dcterms:W3CDTF">2025-04-20T01:37:00Z</dcterms:created>
  <dcterms:modified xsi:type="dcterms:W3CDTF">2025-04-20T01:39:00Z</dcterms:modified>
</cp:coreProperties>
</file>